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2D" w:rsidRPr="009F192D" w:rsidRDefault="009F192D" w:rsidP="009F192D">
      <w:pPr>
        <w:keepNext/>
        <w:rPr>
          <w:b/>
          <w:sz w:val="56"/>
          <w:szCs w:val="56"/>
        </w:rPr>
      </w:pPr>
      <w:bookmarkStart w:id="0" w:name="_GoBack"/>
      <w:bookmarkEnd w:id="0"/>
      <w:r w:rsidRPr="009F192D">
        <w:rPr>
          <w:b/>
          <w:sz w:val="56"/>
          <w:szCs w:val="56"/>
        </w:rPr>
        <w:t>Lista sprawdzająca beneficjenta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2"/>
        <w:gridCol w:w="7324"/>
        <w:gridCol w:w="1196"/>
      </w:tblGrid>
      <w:tr w:rsidR="009F192D" w:rsidRPr="002D05EE" w:rsidTr="009F192D">
        <w:trPr>
          <w:cantSplit/>
          <w:trHeight w:val="227"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9F192D">
            <w:pPr>
              <w:spacing w:before="60" w:after="0" w:line="240" w:lineRule="auto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9F192D">
            <w:pPr>
              <w:spacing w:before="60" w:after="0" w:line="240" w:lineRule="auto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660" w:type="pct"/>
          </w:tcPr>
          <w:p w:rsidR="009F192D" w:rsidRPr="002D05EE" w:rsidRDefault="009F192D" w:rsidP="009F192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TAK / Nie dotyczy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b/>
                <w:bCs/>
                <w:sz w:val="18"/>
                <w:szCs w:val="18"/>
              </w:rPr>
              <w:t>Spójność i przygotowanie dokumentacji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Założenia, metodyka oraz wyniki AKK oraz trwałości finansowej (jeśli dotyczy) we wszystkich dokumentach zawarto w przeznaczonych do tego rozdziałach/zakładkach. Są spójne pomiędzy </w:t>
            </w:r>
            <w:proofErr w:type="spellStart"/>
            <w:r w:rsidRPr="002D05EE">
              <w:rPr>
                <w:sz w:val="18"/>
                <w:szCs w:val="18"/>
              </w:rPr>
              <w:t>WoD</w:t>
            </w:r>
            <w:proofErr w:type="spellEnd"/>
            <w:r w:rsidRPr="002D05EE">
              <w:rPr>
                <w:sz w:val="18"/>
                <w:szCs w:val="18"/>
              </w:rPr>
              <w:t>, SW i arkuszem kalkulacyjnym.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Zachowano logikę prezentacji analiz. Najbardziej szczegółowy opis zawarto w SW, streszczenie w odpowiednich częściach </w:t>
            </w:r>
            <w:proofErr w:type="spellStart"/>
            <w:r w:rsidRPr="002D05EE">
              <w:rPr>
                <w:sz w:val="18"/>
                <w:szCs w:val="18"/>
              </w:rPr>
              <w:t>WoD</w:t>
            </w:r>
            <w:proofErr w:type="spellEnd"/>
            <w:r w:rsidRPr="002D05EE">
              <w:rPr>
                <w:sz w:val="18"/>
                <w:szCs w:val="18"/>
              </w:rPr>
              <w:t>, a wszystkie działania matematyczne wykonano w arkuszu kalkulacyjnym.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Wykazane w dokumentacji powierzchnie, kilometraże, pojemności, dane ruchowe, demograficzne i inne specyficzne parametry, które stanowią punkt wyjścia do wyliczeń AKK są prawidłowe i spójne we wszystkich dokumentach.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Wszystkie tabele i rysunki w tytułach zawierają jednostkę miary oraz datę danych. Tytuły odpowiadają ich treści.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Wszystkie odnośniki do źródeł danych i metodyki zawierają tytuł publikacji, autora (jeśli dotyczy), wydawcę i rok publikacji.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Studium wykonalności (SW)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Prezentację kontekstu społeczno-gospodarczego projektu ograniczono tylko do zagadnień powiązanych z projektem.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  <w:trHeight w:val="277"/>
        </w:trPr>
        <w:tc>
          <w:tcPr>
            <w:tcW w:w="299" w:type="pct"/>
            <w:vMerge w:val="restar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701" w:type="pct"/>
            <w:gridSpan w:val="2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Porównania wariantów dokonano zgodnie z wymogami Zał. III do </w:t>
            </w:r>
            <w:proofErr w:type="spellStart"/>
            <w:r w:rsidRPr="002D05EE">
              <w:rPr>
                <w:sz w:val="18"/>
                <w:szCs w:val="18"/>
              </w:rPr>
              <w:t>Rozp</w:t>
            </w:r>
            <w:proofErr w:type="spellEnd"/>
            <w:r w:rsidRPr="002D05EE">
              <w:rPr>
                <w:sz w:val="18"/>
                <w:szCs w:val="18"/>
              </w:rPr>
              <w:t>. 207/2015:</w:t>
            </w:r>
          </w:p>
        </w:tc>
      </w:tr>
      <w:tr w:rsidR="009F192D" w:rsidRPr="002D05EE" w:rsidTr="009F192D">
        <w:trPr>
          <w:cantSplit/>
          <w:trHeight w:val="277"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numPr>
                <w:ilvl w:val="0"/>
                <w:numId w:val="1"/>
              </w:numPr>
              <w:spacing w:before="60" w:after="60" w:line="240" w:lineRule="auto"/>
              <w:rPr>
                <w:bCs/>
                <w:sz w:val="18"/>
                <w:szCs w:val="18"/>
              </w:rPr>
            </w:pPr>
            <w:r w:rsidRPr="002D05EE">
              <w:rPr>
                <w:bCs/>
                <w:sz w:val="18"/>
                <w:szCs w:val="18"/>
              </w:rPr>
              <w:t xml:space="preserve">w fazie pierwszej, w formie analizy wielokryterialnej lub odtworzenia wykonanego wcześniej wyboru opcji strategicznych. Jest to </w:t>
            </w:r>
            <w:r w:rsidRPr="002D05EE">
              <w:rPr>
                <w:sz w:val="18"/>
                <w:szCs w:val="18"/>
              </w:rPr>
              <w:t>przejrzysta analiza przesłanek przemawiających za i przeciw poszczególnym wariantom alternatywnym</w:t>
            </w:r>
            <w:r w:rsidRPr="002D05EE">
              <w:rPr>
                <w:bCs/>
                <w:sz w:val="18"/>
                <w:szCs w:val="18"/>
              </w:rPr>
              <w:t>. Sprecyzowano kryteria wyboru wariantu inwestycyjnego;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  <w:trHeight w:val="277"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18"/>
                <w:szCs w:val="18"/>
              </w:rPr>
            </w:pPr>
            <w:r w:rsidRPr="002D05EE">
              <w:rPr>
                <w:bCs/>
                <w:sz w:val="18"/>
                <w:szCs w:val="18"/>
              </w:rPr>
              <w:t>w fazie drugiej, w ujęciu ilościowym, np. przy pomocy metody DGC lub AKK.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Kryteria wyboru wariantu inwestycyjnego oraz decyzja o jego wyborze zostały jasno, jednoznacznie i kompleksowo uzasadnione.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Wykonano prognozę popytu dla W0 i WI, oraz (jeśli dotyczy) dla analizowanych wariantów alternatywnych.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Szczegółowo opisano założenia oraz metodykę prognozy popytu. Są oparte na powszechnie przyjętych zasadach i spójne z zakresem projektu. Wyniki prognozy popytu są spójne z danymi w arkuszu kalkulacyjnym.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Prognozy przewozowe/przeładunkowe (jeśli dotyczy) w krótkim okresie odpowiadają aktualnym lub planowanym umowom PSC (transport pasażerski) lub realnej możliwości akwizycji ładunków (transport towarowy), potwierdzonej danymi historycznymi, listami intencyjnym, itp.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7.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Wykonano analizę przepustowości /mocy przewozowych lub przeładunkowych w W0 i WI.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8.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arkuszu kalkulacyjnym pokazano</w:t>
            </w:r>
            <w:r>
              <w:rPr>
                <w:sz w:val="18"/>
                <w:szCs w:val="18"/>
              </w:rPr>
              <w:t xml:space="preserve"> stop</w:t>
            </w:r>
            <w:r w:rsidRPr="002D05EE">
              <w:rPr>
                <w:sz w:val="18"/>
                <w:szCs w:val="18"/>
              </w:rPr>
              <w:t>ień wykorzystania przepustowości/mocy przewozowych/potencjału przeładunkowego projektu do końca okresu analizy. Wyniki tej kalkulacji opisano w SW. Jeśli prognoza popytu przekracza przepustowość, w AKK na prognozę popytu nałożono limit przepustowości.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Założenia i metodyka AKK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SW opisano założenia oraz metodykę wszystkich pozycji finansowych i ekonomicznych przyjętych do kalkulacji, w stopniu szczegółowości umożliwiającym ich weryfikację. Do założeń i elementów metodyki przypisano źródła.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F0383E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Przyjęto poprawną dla charakteru projektu długość okresu odniesienia (zgodnie z </w:t>
            </w:r>
            <w:r w:rsidR="00F0383E">
              <w:rPr>
                <w:sz w:val="18"/>
                <w:szCs w:val="18"/>
              </w:rPr>
              <w:t xml:space="preserve"> Niebieską Księgą, dalej NK</w:t>
            </w:r>
            <w:r w:rsidRPr="002D05EE">
              <w:rPr>
                <w:sz w:val="18"/>
                <w:szCs w:val="18"/>
              </w:rPr>
              <w:t>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Pierwszy rok okresu odniesienia (rok bazowy) to założony w analizie rok rozpoczęcia realizacji projektu lub jeśli </w:t>
            </w:r>
            <w:proofErr w:type="spellStart"/>
            <w:r w:rsidRPr="002D05EE">
              <w:rPr>
                <w:sz w:val="18"/>
                <w:szCs w:val="18"/>
              </w:rPr>
              <w:t>WoD</w:t>
            </w:r>
            <w:proofErr w:type="spellEnd"/>
            <w:r w:rsidRPr="002D05EE">
              <w:rPr>
                <w:sz w:val="18"/>
                <w:szCs w:val="18"/>
              </w:rPr>
              <w:t xml:space="preserve"> złożono po rozpoczęciu realizacji projektu – rok złożenia </w:t>
            </w:r>
            <w:proofErr w:type="spellStart"/>
            <w:r w:rsidRPr="002D05EE">
              <w:rPr>
                <w:sz w:val="18"/>
                <w:szCs w:val="18"/>
              </w:rPr>
              <w:t>WoD</w:t>
            </w:r>
            <w:proofErr w:type="spellEnd"/>
            <w:r w:rsidRPr="002D05EE">
              <w:rPr>
                <w:sz w:val="18"/>
                <w:szCs w:val="18"/>
              </w:rPr>
              <w:t>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Przyjęto aktualne (nie starsze niż rok) założenia makroekonomiczne oraz precyzyjnie wskazano ich źródło.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całej AKK przyjęto ceny stałe lub w uzasadnionych przypadkach – ceny realne.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Wyliczenia przeprowadzono metodą różnicową lub w metodzie standardowej prawidłowo zidentyfikowano i wydzielono przepływy związane z projektem.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7.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zależności od tego, czy beneficjent ma, bądź nie ma prawa odliczenia albo zwrotu naliczonego podatku VAT, przyjęto odpowiednio ceny netto lub brutto w analizie finansowej, a w analizie ekonomicznej wyeliminowano cały VAT.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  <w:trHeight w:val="642"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8.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W przepływach finansowych uwzględniono tylko przepływy pieniężne, w tym: </w:t>
            </w:r>
          </w:p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[1] nie uwzględniono amortyzacji w kosztach operacyjnych;</w:t>
            </w:r>
          </w:p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[2] nie uwzględniono rezerwy na nieprzewidziane wydatki w pozycji nakłady inwestycyjne.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Założenia analizy finansowej</w:t>
            </w:r>
          </w:p>
        </w:tc>
      </w:tr>
      <w:tr w:rsidR="009F192D" w:rsidRPr="002D05EE" w:rsidTr="009F192D">
        <w:trPr>
          <w:cantSplit/>
          <w:trHeight w:val="264"/>
        </w:trPr>
        <w:tc>
          <w:tcPr>
            <w:tcW w:w="299" w:type="pct"/>
            <w:vMerge w:val="restar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  <w:highlight w:val="yellow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701" w:type="pct"/>
            <w:gridSpan w:val="2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bCs/>
                <w:sz w:val="18"/>
                <w:szCs w:val="18"/>
              </w:rPr>
              <w:t>Wyliczono wartość rezydualną. Zastosowano:</w:t>
            </w:r>
          </w:p>
        </w:tc>
      </w:tr>
      <w:tr w:rsidR="009F192D" w:rsidRPr="002D05EE" w:rsidTr="009F192D">
        <w:trPr>
          <w:cantSplit/>
          <w:trHeight w:val="340"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numPr>
                <w:ilvl w:val="0"/>
                <w:numId w:val="2"/>
              </w:numPr>
              <w:spacing w:before="60" w:after="60" w:line="240" w:lineRule="auto"/>
              <w:rPr>
                <w:bCs/>
                <w:sz w:val="18"/>
                <w:szCs w:val="18"/>
              </w:rPr>
            </w:pPr>
            <w:r w:rsidRPr="002D05EE">
              <w:rPr>
                <w:bCs/>
                <w:sz w:val="18"/>
                <w:szCs w:val="18"/>
              </w:rPr>
              <w:t>metodę dochodową w pozostałym okresie żywotności projektu po okresie analizy;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  <w:trHeight w:val="474"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numPr>
                <w:ilvl w:val="0"/>
                <w:numId w:val="2"/>
              </w:numPr>
              <w:spacing w:before="60" w:after="60" w:line="240" w:lineRule="auto"/>
              <w:rPr>
                <w:bCs/>
                <w:sz w:val="18"/>
                <w:szCs w:val="18"/>
              </w:rPr>
            </w:pPr>
            <w:r w:rsidRPr="002D05EE">
              <w:rPr>
                <w:bCs/>
                <w:sz w:val="18"/>
                <w:szCs w:val="18"/>
              </w:rPr>
              <w:t>metodę wartości aktywów netto na koniec okresu analizy przy zastosowaniu liniowych odpisów amortyzacyjnych wg stawek odzwierciedlających okres żywotności projektu.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Jeśli beneficjent prowadzi sprawozdawczość finansową wg standardowych zasad rachunkowości, analizę finansową oparto na danych wynikających ze sprawozdań finansowych.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SW szczegółowo opisano i uzasadniono założenia do kosztów eksploatacji i utrzymania i/lub kosztów operacyjnych i nakładów odtworzeniowych.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SW szczegółowo opisano i uzasadniono założenia do przychodów. Prognoza przychodów jest powiązana z prognozą popytu (potwierdzają to formuły w arkuszu kalkulacyjnym).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7.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Przychody wykazane w analizie finansowej są przychodami projektu zgodnie z art. 61 ust. 1 </w:t>
            </w:r>
            <w:proofErr w:type="spellStart"/>
            <w:r w:rsidRPr="002D05EE">
              <w:rPr>
                <w:sz w:val="18"/>
                <w:szCs w:val="18"/>
              </w:rPr>
              <w:t>Rozp</w:t>
            </w:r>
            <w:proofErr w:type="spellEnd"/>
            <w:r w:rsidRPr="002D05EE">
              <w:rPr>
                <w:sz w:val="18"/>
                <w:szCs w:val="18"/>
              </w:rPr>
              <w:t>. 1303/2013, tj. tylko przychodami od użytkowników, dzierżawców itp. (Do przychodów nie wliczono subsydiów, dotacji operacyjnych i innych dotacji.)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8.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Jeśli projekt generuje oszczędności w kosztach operacyjnych i nakładach odtworzeniowych, uwzględniono je jako dochód projektu lub zastosowano mechanizm obniżania dotacji operacyjnej z ich tytułu, co wyjaśniono w SW i pokazano w arkuszu kalkulacyjnym.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9.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Przyjęto poprawną finansową stopę dyskontową, tj. 4%.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Wyliczenia analizy finansowej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Poprawnie zdyskontowano pozycje finansowe. </w:t>
            </w:r>
          </w:p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(Nie dyskontowano wartości w roku bazowym analizy.)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Poprawnie wyliczono wartość rezydualną. Metodyka wyliczenia jest spójna z metodyką zastosowaną w analizie ekonomicznej.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Poprawnie wyliczono koszty operacyjne i nakłady odtworzeniowe.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Poprawnie wyliczono przychody.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Obliczono wskaźniki efektywności finansowej FRR/c, FRR/k, FNPV/c i FNPV/k wykorzystując pozycje finansowe zgodne z Wytycznymi IZ.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przypadku więcej niż jednego typu podmiotu zaangażowanego w projekt (np. organizator przewozów i przewoźnik) wskaźniki finansowe obliczono dla każdego podmiotu. Suma FNPV/c dla wszystkich podmiotów = FNPV/c projektu, a suma FNPV/k dla wszystkich podmiotów = FNPV/k projektu.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7.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Jeśli wskaźniki „/k” są mniej korzystne niż „/c”, wyjaśniono tego przyczynę.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9.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Obliczone wartości wskaźników efektywności finansowej – zgodnie z kryteriami programowymi i/lub warunkami konkursu (jeśli dotyczy) – kwalifikują projekt do dofinansowania z funduszy UE.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VI.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Założenia do analizy ekonomicznej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analizie ekonomicznej nie uwzględniono ani przychodów operacyjnych, ani przychodów finansowych.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Jeśli jako wartość rezydualną zastosowano wartość aktywów netto na koniec okresu analizy z analizy finansowej prowadzonej w cenach brutto, dokonano korekty wartości rezydualnej o VAT.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Określono katalog korzyści i kosztów ekonomicznych zgodnie z rekomendacjami z </w:t>
            </w:r>
            <w:r w:rsidR="00F0383E">
              <w:rPr>
                <w:sz w:val="18"/>
                <w:szCs w:val="18"/>
              </w:rPr>
              <w:t>NK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vMerge w:val="restar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01" w:type="pct"/>
            <w:gridSpan w:val="2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W SW szczegółowo opisano założenia kwantyfikacji i </w:t>
            </w:r>
            <w:proofErr w:type="spellStart"/>
            <w:r w:rsidRPr="002D05EE">
              <w:rPr>
                <w:sz w:val="18"/>
                <w:szCs w:val="18"/>
              </w:rPr>
              <w:t>monetyzacji</w:t>
            </w:r>
            <w:proofErr w:type="spellEnd"/>
            <w:r w:rsidRPr="002D05EE">
              <w:rPr>
                <w:sz w:val="18"/>
                <w:szCs w:val="18"/>
              </w:rPr>
              <w:t xml:space="preserve"> korzyści i kosztów ekonomicznych, w tym:</w:t>
            </w:r>
          </w:p>
        </w:tc>
      </w:tr>
      <w:tr w:rsidR="009F192D" w:rsidRPr="002D05EE" w:rsidTr="009F192D">
        <w:trPr>
          <w:cantSplit/>
          <w:trHeight w:val="358"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Opisano wszystkie elementy metodyki zaczerpnięte z podręczników AKK lub innych publikacji i podano odniesienie do źródeł tej metodyki.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Opisano wszystkie autorskie elementy metodyki;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Wskazano źródła wszystkich kosztów jednostkowych wykorzystanych w analizie;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Opisano w SW wszystkie założenia wpisane jako wartości liczbowe na zakładce założenia w arkuszu kalkulacyjnym;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Opisano wzory wyliczeń zastosowanych w kalkulacji poszczególnych pozycji korzyści i kosztów ekonomicznych. Pominięto wzory NPV, IRR i B/C jako powszechnie znane;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vMerge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Podano pełną listę komponentów przepływów finansowych i ekonomicznych ujętych w analizie efektywności ekonomicznej.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Przyjęto poprawną ekonomiczną stopę dyskontową, tj. </w:t>
            </w:r>
            <w:r w:rsidR="00F0383E">
              <w:rPr>
                <w:sz w:val="18"/>
                <w:szCs w:val="18"/>
              </w:rPr>
              <w:t>3</w:t>
            </w:r>
            <w:r w:rsidRPr="002D05EE">
              <w:rPr>
                <w:sz w:val="18"/>
                <w:szCs w:val="18"/>
              </w:rPr>
              <w:t>%.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Wyliczenia analizy ekonomicznej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Przyjęto poprawną korektę fiskalną pozycji finansowych tj. wartości netto skorygowano o współczynniki CF za NK lub przyjęte z własnego wyliczenia wg poprawnej metodyki.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Korekty fiskalne nałożono prawidłowo, po eliminacji podatku VAT na wszystkie wartości pieniężne uwzględniane w analizie: skorygowano nakłady inwestycyjne, wartość rezydualną (jeżeli jest oparta o wartość aktywów netto), koszty operacyjne, nakłady odtworzeniowe oraz zmiany w kapitale obrotowym netto (jeśli dotyczy).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Koszty jednostkowe podane za NK lub innymi publikacjami zindeksowano do roku bazowego wskaźnikiem inflacji.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Koszty jednostkowe podane za NK lub innymi publikacjami – jeśli dotyczy – zindeksowano w całym okresie analizy o wskaźniki realnego wzrostu kosztów.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Koszty jednostkowe podane za publikacjami zagranicznymi, których wartości oryginalnie wyliczono dla innych krajów/grupy krajów skorygowano o parytet siły nabywczej tak, aby dostosować je do poziomu cen w Polsce.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Translacji kosztów jednostkowych, które w oryginalnych źródłach podano w walutach obcych na PLN dokonano na rok daty danych przy wykorzystaniu średniorocznego kursu EBC dla EUR lub średniorocznego kursu NBP dla innych walut.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Lata generowania korzyści ekonomicznych powiązano z okresem </w:t>
            </w:r>
            <w:r>
              <w:rPr>
                <w:sz w:val="18"/>
                <w:szCs w:val="18"/>
              </w:rPr>
              <w:t>eksploatacji</w:t>
            </w:r>
            <w:r w:rsidRPr="002D05EE">
              <w:rPr>
                <w:sz w:val="18"/>
                <w:szCs w:val="18"/>
              </w:rPr>
              <w:t xml:space="preserve"> projektu.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8.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Poprawnie wyliczono wartość rezydualną. Metodyka wyliczenia jest spójna z metodyką zastosowaną w analizie finansowej.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9.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Poprawnie zdyskontowano pozycje ekonomiczne. Nie dyskontowano wartości w roku bazowym analizy.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D05EE">
              <w:rPr>
                <w:sz w:val="18"/>
                <w:szCs w:val="18"/>
              </w:rPr>
              <w:t>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Jako korzyść /koszt ekonomiczny w kalkulacji wskaźników potraktowano tylko pozycje o odpowiednio dodatniej /ujemnej bieżącej wartości (NPV) w całym okresie odniesienia niezależnie od dodatniego lub ujemnego rocznego salda w poszczególnych latach okresu odniesienia.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2D05EE">
              <w:rPr>
                <w:sz w:val="18"/>
                <w:szCs w:val="18"/>
              </w:rPr>
              <w:t>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Obliczone wartości wskaźników efektywności ekonomicznej kwalifikują projekt do dofinansowania z funduszy UE, tj. ENPV&gt;0, ERR&gt;i, gdzie i to stopa dyskontowa, a BCR&gt;1.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VIII.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Trwałość finansowa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Analizę trwałości finansowej projektu wykonano na podstawie </w:t>
            </w:r>
            <w:proofErr w:type="spellStart"/>
            <w:r w:rsidRPr="002D05EE">
              <w:rPr>
                <w:sz w:val="18"/>
                <w:szCs w:val="18"/>
              </w:rPr>
              <w:t>nieróżnicowych</w:t>
            </w:r>
            <w:proofErr w:type="spellEnd"/>
            <w:r w:rsidRPr="002D05EE">
              <w:rPr>
                <w:sz w:val="18"/>
                <w:szCs w:val="18"/>
              </w:rPr>
              <w:t xml:space="preserve"> projekcji finansowych w WI.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Analizę trwałości finansowej beneficjenta z projektem WI wykonano na podstawie </w:t>
            </w:r>
            <w:proofErr w:type="spellStart"/>
            <w:r w:rsidRPr="002D05EE">
              <w:rPr>
                <w:sz w:val="18"/>
                <w:szCs w:val="18"/>
              </w:rPr>
              <w:t>nieróżnicowych</w:t>
            </w:r>
            <w:proofErr w:type="spellEnd"/>
            <w:r w:rsidRPr="002D05EE">
              <w:rPr>
                <w:sz w:val="18"/>
                <w:szCs w:val="18"/>
              </w:rPr>
              <w:t xml:space="preserve"> projekcji finansowych uwzględniających realizację projektu (nie dotyczy małych projektów realizowanych przez </w:t>
            </w:r>
            <w:proofErr w:type="spellStart"/>
            <w:r w:rsidRPr="002D05EE">
              <w:rPr>
                <w:sz w:val="18"/>
                <w:szCs w:val="18"/>
              </w:rPr>
              <w:t>niesamorządowe</w:t>
            </w:r>
            <w:proofErr w:type="spellEnd"/>
            <w:r w:rsidRPr="002D05EE">
              <w:rPr>
                <w:sz w:val="18"/>
                <w:szCs w:val="18"/>
              </w:rPr>
              <w:t xml:space="preserve"> instytucje sektora finansów publicznych)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W przypadku instytucji sektora publicznego, które nie są zobowiązane do prezentacji kalkulacji trwałości finansowej, w SW i </w:t>
            </w:r>
            <w:proofErr w:type="spellStart"/>
            <w:r w:rsidRPr="002D05EE">
              <w:rPr>
                <w:sz w:val="18"/>
                <w:szCs w:val="18"/>
              </w:rPr>
              <w:t>WoD</w:t>
            </w:r>
            <w:proofErr w:type="spellEnd"/>
            <w:r w:rsidRPr="002D05EE">
              <w:rPr>
                <w:sz w:val="18"/>
                <w:szCs w:val="18"/>
              </w:rPr>
              <w:t xml:space="preserve"> zaprezentowano źródła prawa, dokumenty strategiczne, plany wieloletnie wykazujące, że zapewniono odpowiednie finansowanie obowiązków nałożonych na podmiot w fazie inwestycyjnej i eksploatacyjnej projektu.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Zaprezentowano trwałość finansową wszystkich podmiotów, których zachowanie trwałości finansowej jest niezbędne dla trwałości projektu.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Zaprezentowano </w:t>
            </w:r>
            <w:r w:rsidRPr="002D05EE">
              <w:rPr>
                <w:sz w:val="18"/>
                <w:szCs w:val="18"/>
              </w:rPr>
              <w:t>kalkulacj</w:t>
            </w:r>
            <w:r>
              <w:rPr>
                <w:sz w:val="18"/>
                <w:szCs w:val="18"/>
              </w:rPr>
              <w:t>ę</w:t>
            </w:r>
            <w:r w:rsidRPr="002D05EE">
              <w:rPr>
                <w:sz w:val="18"/>
                <w:szCs w:val="18"/>
              </w:rPr>
              <w:t xml:space="preserve"> rekompensaty zgodnie z </w:t>
            </w:r>
            <w:proofErr w:type="spellStart"/>
            <w:r w:rsidRPr="002D05EE">
              <w:rPr>
                <w:sz w:val="18"/>
                <w:szCs w:val="18"/>
              </w:rPr>
              <w:t>Rozp</w:t>
            </w:r>
            <w:proofErr w:type="spellEnd"/>
            <w:r w:rsidRPr="002D05EE">
              <w:rPr>
                <w:sz w:val="18"/>
                <w:szCs w:val="18"/>
              </w:rPr>
              <w:t>. 1370/2007 lub innego wynagrodzenia za świadczenie usług publicznych (jeśli dotyczy).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Skumulowane salda środków pieniężnych w wyliczeniu trwałości finansowej w każdym roku analizy są nieujemne.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IX.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Analiza wrażliwości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  <w:highlight w:val="yellow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Zidentyfikowano zmienne kluczowe dla analizy finansowej i zmienne kluczowe dla analizy ekonomicznej.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Dla zidentyfikowanych zmiennych podano listę scenariuszy procentowych zmian zmiennych, które uwzględniają ryzyko zmian tych zmiennych charakterystyczne dla branży, w której realizowany jest projekt.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Analizie scenariuszowej poddano wszystkie zmienne kluczowe każdorazowo zmieniając tylko badaną zmienną. Określono scenariusz pesymistyczny. W scenariuszu tym, przeanalizowano wpływ zmiany kilku zmiennych jednocześnie na wynik analizy.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Spośród zmiennych kluczowych, zidentyfikowano zmienne krytyczne tj. te zmienne kluczowe w przypadku których zmiana ich wartości o +/-1% powoduje odpowiednią zmianę wartości bazowej NPV o co najmniej +/- 1%.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Przeprowadzono analizę wartości progowych dla wszystkich zmiennych kluczowych. W przypadku, gdy wartości progowe przekroczyły poziom -100% wpisano „nie dotyczy”.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Zaprezentowano spójną i logiczną interpretację analizy wrażliwości.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X.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Analiza ryzyka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Uwzględniono pełny katalog </w:t>
            </w:r>
            <w:proofErr w:type="spellStart"/>
            <w:r w:rsidRPr="002D05EE">
              <w:rPr>
                <w:sz w:val="18"/>
                <w:szCs w:val="18"/>
              </w:rPr>
              <w:t>ryzyk</w:t>
            </w:r>
            <w:proofErr w:type="spellEnd"/>
            <w:r w:rsidRPr="002D05EE">
              <w:rPr>
                <w:sz w:val="18"/>
                <w:szCs w:val="18"/>
              </w:rPr>
              <w:t xml:space="preserve"> zgodnie z </w:t>
            </w:r>
            <w:r w:rsidR="00F0383E">
              <w:rPr>
                <w:sz w:val="18"/>
                <w:szCs w:val="18"/>
              </w:rPr>
              <w:t>NK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Dokonano oceny ryzyka przy użyciu matrycy </w:t>
            </w:r>
            <w:proofErr w:type="spellStart"/>
            <w:r w:rsidRPr="002D05EE">
              <w:rPr>
                <w:sz w:val="18"/>
                <w:szCs w:val="18"/>
              </w:rPr>
              <w:t>ryz</w:t>
            </w:r>
            <w:r w:rsidR="00F0383E">
              <w:rPr>
                <w:sz w:val="18"/>
                <w:szCs w:val="18"/>
              </w:rPr>
              <w:t>yk</w:t>
            </w:r>
            <w:proofErr w:type="spellEnd"/>
            <w:r w:rsidR="00F0383E">
              <w:rPr>
                <w:sz w:val="18"/>
                <w:szCs w:val="18"/>
              </w:rPr>
              <w:t>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Dla każdego </w:t>
            </w:r>
            <w:r>
              <w:rPr>
                <w:sz w:val="18"/>
                <w:szCs w:val="18"/>
              </w:rPr>
              <w:t xml:space="preserve">istotnego </w:t>
            </w:r>
            <w:r w:rsidRPr="002D05EE">
              <w:rPr>
                <w:sz w:val="18"/>
                <w:szCs w:val="18"/>
              </w:rPr>
              <w:t xml:space="preserve">ryzyka </w:t>
            </w:r>
            <w:r>
              <w:rPr>
                <w:sz w:val="18"/>
                <w:szCs w:val="18"/>
              </w:rPr>
              <w:t>określono</w:t>
            </w:r>
            <w:r w:rsidRPr="002D05EE">
              <w:rPr>
                <w:sz w:val="18"/>
                <w:szCs w:val="18"/>
              </w:rPr>
              <w:t xml:space="preserve"> strategie reagowania i działania zaradcze.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Przedstawiono opis procedur monitorowania ryzyka.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XI.</w:t>
            </w:r>
          </w:p>
        </w:tc>
        <w:tc>
          <w:tcPr>
            <w:tcW w:w="4701" w:type="pct"/>
            <w:gridSpan w:val="2"/>
            <w:tcBorders>
              <w:left w:val="nil"/>
            </w:tcBorders>
            <w:shd w:val="clear" w:color="auto" w:fill="FFC000" w:themeFill="accent4"/>
          </w:tcPr>
          <w:p w:rsidR="009F192D" w:rsidRPr="002D05EE" w:rsidRDefault="009F192D" w:rsidP="00413423">
            <w:pPr>
              <w:spacing w:before="60" w:after="60"/>
              <w:rPr>
                <w:b/>
                <w:sz w:val="18"/>
                <w:szCs w:val="18"/>
              </w:rPr>
            </w:pPr>
            <w:r w:rsidRPr="002D05EE">
              <w:rPr>
                <w:b/>
                <w:sz w:val="18"/>
                <w:szCs w:val="18"/>
              </w:rPr>
              <w:t>Model finansowo-ekonomiczny (arkusz kalkulacyjny)</w:t>
            </w: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Konstrukcja modelu odpowiada głównym elementom kalkulacji. Wyodrębniono zakładki tematyczne, w tym co najmniej „założenia”, „analiza finansowa”, „analiza ekonomiczna”, „tabele do </w:t>
            </w:r>
            <w:proofErr w:type="spellStart"/>
            <w:r w:rsidRPr="002D05EE">
              <w:rPr>
                <w:sz w:val="18"/>
                <w:szCs w:val="18"/>
              </w:rPr>
              <w:t>WoD</w:t>
            </w:r>
            <w:proofErr w:type="spellEnd"/>
            <w:r w:rsidRPr="002D05EE">
              <w:rPr>
                <w:sz w:val="18"/>
                <w:szCs w:val="18"/>
              </w:rPr>
              <w:t>”.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Wszystkie kalkulacje są widoczne. Nie ma ukrytych zakładek, kolumn, wierszy, ani wartości wpisanych niewidoczną czcionką.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3.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Każda tabela w modelu jest odpowiednio zatytułowana. 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4.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W każdej zakładce w całym arkuszu dany rok znajduje się w tej samej kolumnie (np. rok 2016 zawsze w kolumnie G).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5.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 xml:space="preserve">Dla każdej wartości </w:t>
            </w:r>
            <w:r>
              <w:rPr>
                <w:sz w:val="18"/>
                <w:szCs w:val="18"/>
              </w:rPr>
              <w:t>wskazano jednostkę</w:t>
            </w:r>
            <w:r w:rsidRPr="002D05EE">
              <w:rPr>
                <w:sz w:val="18"/>
                <w:szCs w:val="18"/>
              </w:rPr>
              <w:t>, w której wyrażono dane/wyniki (zarówno odnosząca się do rzędu wielkości, jak i opisująca podane wartości).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6.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Założenia liczbowe wpisano w jednym miejscu arkusza (preferencyjnie zakładka „założenia”), tak aby zmiana założeń dokonywana była tylko w jednym miejscu.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7.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Założenia liczbowe do wyliczeń zostały szczegółowo opisane w SW wraz z podaniem źródła założeń.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8.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Każd</w:t>
            </w:r>
            <w:r>
              <w:rPr>
                <w:sz w:val="18"/>
                <w:szCs w:val="18"/>
              </w:rPr>
              <w:t>ą</w:t>
            </w:r>
            <w:r w:rsidRPr="002D05EE">
              <w:rPr>
                <w:sz w:val="18"/>
                <w:szCs w:val="18"/>
              </w:rPr>
              <w:t xml:space="preserve"> wartość </w:t>
            </w:r>
            <w:r>
              <w:rPr>
                <w:sz w:val="18"/>
                <w:szCs w:val="18"/>
              </w:rPr>
              <w:t>skalkulowano</w:t>
            </w:r>
            <w:r w:rsidRPr="002D05EE">
              <w:rPr>
                <w:sz w:val="18"/>
                <w:szCs w:val="18"/>
              </w:rPr>
              <w:t xml:space="preserve"> w arkuszu jednokrotnie.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9.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Co do zasady, formuły w arkuszu są otwarte, tj. widoczne w komórkach, w których je zapisano. Możliwe jest prześledzenie wszystkich wyliczeń począwszy od założeń do ostatecznych wyników. Tylko w wyjątkowych sytuacjach zastosowano makra.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10.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Arkusz jest elastyczny, tj. przelicza wyniki automatycznie po zmianie założeń.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11.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Możliw</w:t>
            </w:r>
            <w:r>
              <w:rPr>
                <w:sz w:val="18"/>
                <w:szCs w:val="18"/>
              </w:rPr>
              <w:t>a</w:t>
            </w:r>
            <w:r w:rsidRPr="002D05EE">
              <w:rPr>
                <w:sz w:val="18"/>
                <w:szCs w:val="18"/>
              </w:rPr>
              <w:t xml:space="preserve"> jest symulacj</w:t>
            </w:r>
            <w:r>
              <w:rPr>
                <w:sz w:val="18"/>
                <w:szCs w:val="18"/>
              </w:rPr>
              <w:t>a</w:t>
            </w:r>
            <w:r w:rsidRPr="002D05EE">
              <w:rPr>
                <w:sz w:val="18"/>
                <w:szCs w:val="18"/>
              </w:rPr>
              <w:t xml:space="preserve"> analizy wrażliwości (automatyczne lub z wykorzystaniem mechanizmu makra opisanego w arkuszu).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9F192D" w:rsidRPr="002D05EE" w:rsidTr="009F192D">
        <w:trPr>
          <w:cantSplit/>
        </w:trPr>
        <w:tc>
          <w:tcPr>
            <w:tcW w:w="299" w:type="pct"/>
            <w:tcBorders>
              <w:right w:val="nil"/>
            </w:tcBorders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12.</w:t>
            </w:r>
          </w:p>
        </w:tc>
        <w:tc>
          <w:tcPr>
            <w:tcW w:w="4041" w:type="pct"/>
            <w:tcBorders>
              <w:left w:val="nil"/>
            </w:tcBorders>
          </w:tcPr>
          <w:p w:rsidR="009F192D" w:rsidRPr="002D05EE" w:rsidRDefault="009F192D" w:rsidP="00413423">
            <w:pPr>
              <w:spacing w:before="60" w:after="60"/>
              <w:rPr>
                <w:sz w:val="18"/>
                <w:szCs w:val="18"/>
              </w:rPr>
            </w:pPr>
            <w:r w:rsidRPr="002D05EE">
              <w:rPr>
                <w:sz w:val="18"/>
                <w:szCs w:val="18"/>
              </w:rPr>
              <w:t>Formuła wyliczania luki w finansowaniu uruchamia wartość rezydualną jako wpływ, dopiero gdy zdyskontowane przychody przekroczą zdyskontowane koszty operacyjne (w tym zdyskontowane nakłady odtworzeniowe).</w:t>
            </w:r>
          </w:p>
        </w:tc>
        <w:tc>
          <w:tcPr>
            <w:tcW w:w="660" w:type="pct"/>
          </w:tcPr>
          <w:p w:rsidR="009F192D" w:rsidRPr="002D05EE" w:rsidRDefault="009F192D" w:rsidP="0041342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:rsidR="00834B4D" w:rsidRDefault="00834B4D" w:rsidP="009F192D"/>
    <w:sectPr w:rsidR="0083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6B52"/>
    <w:multiLevelType w:val="hybridMultilevel"/>
    <w:tmpl w:val="F81E534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F7B10"/>
    <w:multiLevelType w:val="hybridMultilevel"/>
    <w:tmpl w:val="49360300"/>
    <w:lvl w:ilvl="0" w:tplc="C19CF94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86A39F5"/>
    <w:multiLevelType w:val="hybridMultilevel"/>
    <w:tmpl w:val="11F8A7C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25"/>
    <w:rsid w:val="00102F24"/>
    <w:rsid w:val="00563169"/>
    <w:rsid w:val="00834B4D"/>
    <w:rsid w:val="008E7025"/>
    <w:rsid w:val="009F192D"/>
    <w:rsid w:val="00A4123B"/>
    <w:rsid w:val="00F0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0967B-624F-4B47-9B1E-8DF197BE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9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92D"/>
    <w:pPr>
      <w:ind w:left="720"/>
      <w:contextualSpacing/>
    </w:pPr>
  </w:style>
  <w:style w:type="table" w:styleId="Tabela-Siatka">
    <w:name w:val="Table Grid"/>
    <w:basedOn w:val="Standardowy"/>
    <w:uiPriority w:val="59"/>
    <w:rsid w:val="009F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1975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Kiwiel</dc:creator>
  <cp:keywords/>
  <dc:description/>
  <cp:lastModifiedBy>Dariusz Giziński</cp:lastModifiedBy>
  <cp:revision>2</cp:revision>
  <dcterms:created xsi:type="dcterms:W3CDTF">2024-02-28T12:36:00Z</dcterms:created>
  <dcterms:modified xsi:type="dcterms:W3CDTF">2024-02-28T12:36:00Z</dcterms:modified>
</cp:coreProperties>
</file>