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B5277" w14:textId="77777777" w:rsidR="004943C7" w:rsidRDefault="004943C7" w:rsidP="004943C7">
      <w:pPr>
        <w:rPr>
          <w:rFonts w:cstheme="minorHAnsi"/>
        </w:rPr>
      </w:pPr>
      <w:bookmarkStart w:id="0" w:name="_Toc178579833"/>
    </w:p>
    <w:p w14:paraId="45C75D59" w14:textId="296A1BDF" w:rsidR="00750746" w:rsidRDefault="00750746" w:rsidP="00750746">
      <w:pPr>
        <w:spacing w:after="120" w:line="276" w:lineRule="auto"/>
        <w:ind w:left="-425"/>
        <w:rPr>
          <w:rFonts w:ascii="Nunito Sans" w:hAnsi="Nunito Sans" w:cs="Times New Roman"/>
          <w:b/>
        </w:rPr>
      </w:pPr>
      <w:r w:rsidRPr="008E3468">
        <w:rPr>
          <w:rFonts w:ascii="Nunito Sans" w:hAnsi="Nunito Sans" w:cs="Times New Roman"/>
          <w:b/>
        </w:rPr>
        <w:t xml:space="preserve">Załącznik nr </w:t>
      </w:r>
      <w:r w:rsidR="00102EB7">
        <w:rPr>
          <w:rFonts w:ascii="Nunito Sans" w:hAnsi="Nunito Sans" w:cs="Times New Roman"/>
          <w:b/>
        </w:rPr>
        <w:t>12</w:t>
      </w:r>
      <w:r w:rsidRPr="008E3468">
        <w:rPr>
          <w:rFonts w:ascii="Nunito Sans" w:hAnsi="Nunito Sans" w:cs="Times New Roman"/>
          <w:b/>
        </w:rPr>
        <w:t xml:space="preserve"> do Regulaminu wyboru projektów</w:t>
      </w:r>
    </w:p>
    <w:p w14:paraId="505F2DB2" w14:textId="77777777" w:rsidR="002F1AED" w:rsidRDefault="002F1AED" w:rsidP="004943C7">
      <w:pPr>
        <w:pStyle w:val="Nagwek2"/>
        <w:ind w:left="720"/>
        <w:rPr>
          <w:rFonts w:asciiTheme="minorHAnsi" w:hAnsiTheme="minorHAnsi" w:cstheme="minorHAnsi"/>
          <w:smallCaps/>
          <w:color w:val="auto"/>
          <w:sz w:val="28"/>
          <w:szCs w:val="28"/>
        </w:rPr>
      </w:pPr>
    </w:p>
    <w:p w14:paraId="0C54E911" w14:textId="635BB5ED" w:rsidR="004943C7" w:rsidRPr="004943C7" w:rsidRDefault="004943C7" w:rsidP="004943C7">
      <w:pPr>
        <w:pStyle w:val="Nagwek2"/>
        <w:ind w:left="720"/>
        <w:rPr>
          <w:rFonts w:asciiTheme="minorHAnsi" w:hAnsiTheme="minorHAnsi" w:cstheme="minorHAnsi"/>
          <w:color w:val="auto"/>
          <w:sz w:val="28"/>
          <w:szCs w:val="28"/>
        </w:rPr>
      </w:pPr>
      <w:r w:rsidRPr="004943C7">
        <w:rPr>
          <w:rFonts w:asciiTheme="minorHAnsi" w:hAnsiTheme="minorHAnsi" w:cstheme="minorHAnsi"/>
          <w:smallCaps/>
          <w:color w:val="auto"/>
          <w:sz w:val="28"/>
          <w:szCs w:val="28"/>
        </w:rPr>
        <w:t>Warunki konkursu i</w:t>
      </w:r>
      <w:r w:rsidRPr="004943C7">
        <w:rPr>
          <w:rFonts w:asciiTheme="minorHAnsi" w:hAnsiTheme="minorHAnsi" w:cstheme="minorHAnsi"/>
          <w:color w:val="auto"/>
          <w:sz w:val="28"/>
          <w:szCs w:val="28"/>
        </w:rPr>
        <w:t xml:space="preserve"> </w:t>
      </w:r>
      <w:r>
        <w:rPr>
          <w:rFonts w:asciiTheme="minorHAnsi" w:hAnsiTheme="minorHAnsi" w:cstheme="minorHAnsi"/>
          <w:smallCaps/>
          <w:color w:val="auto"/>
          <w:sz w:val="28"/>
          <w:szCs w:val="28"/>
        </w:rPr>
        <w:t>z</w:t>
      </w:r>
      <w:r w:rsidRPr="004943C7">
        <w:rPr>
          <w:rFonts w:asciiTheme="minorHAnsi" w:hAnsiTheme="minorHAnsi" w:cstheme="minorHAnsi"/>
          <w:smallCaps/>
          <w:color w:val="auto"/>
          <w:sz w:val="28"/>
          <w:szCs w:val="28"/>
        </w:rPr>
        <w:t>ałożenia do Uproszczonego studium wykonalności</w:t>
      </w:r>
    </w:p>
    <w:p w14:paraId="6732BDED" w14:textId="77777777" w:rsidR="004943C7" w:rsidRDefault="004943C7" w:rsidP="004943C7">
      <w:pPr>
        <w:pStyle w:val="Nagwek2"/>
        <w:numPr>
          <w:ilvl w:val="0"/>
          <w:numId w:val="13"/>
        </w:numPr>
        <w:rPr>
          <w:rFonts w:asciiTheme="minorHAnsi" w:hAnsiTheme="minorHAnsi" w:cstheme="minorHAnsi"/>
          <w:color w:val="auto"/>
        </w:rPr>
      </w:pPr>
      <w:r w:rsidRPr="004943C7">
        <w:rPr>
          <w:rFonts w:asciiTheme="minorHAnsi" w:hAnsiTheme="minorHAnsi" w:cstheme="minorHAnsi"/>
          <w:smallCaps/>
          <w:color w:val="auto"/>
          <w:sz w:val="28"/>
          <w:szCs w:val="28"/>
        </w:rPr>
        <w:t>Warunki konkursu</w:t>
      </w:r>
    </w:p>
    <w:p w14:paraId="20AD1DDE" w14:textId="7FDE83C9" w:rsidR="004943C7" w:rsidRPr="0064767E" w:rsidRDefault="004943C7" w:rsidP="004943C7">
      <w:pPr>
        <w:pStyle w:val="Nagwek2"/>
        <w:numPr>
          <w:ilvl w:val="0"/>
          <w:numId w:val="9"/>
        </w:numPr>
        <w:rPr>
          <w:rFonts w:asciiTheme="minorHAnsi" w:hAnsiTheme="minorHAnsi" w:cstheme="minorHAnsi"/>
          <w:color w:val="auto"/>
        </w:rPr>
      </w:pPr>
      <w:r w:rsidRPr="0064767E">
        <w:rPr>
          <w:rFonts w:asciiTheme="minorHAnsi" w:hAnsiTheme="minorHAnsi" w:cstheme="minorHAnsi"/>
          <w:color w:val="auto"/>
        </w:rPr>
        <w:t xml:space="preserve">Przedmiot </w:t>
      </w:r>
      <w:r w:rsidR="0000589B">
        <w:rPr>
          <w:rFonts w:asciiTheme="minorHAnsi" w:hAnsiTheme="minorHAnsi" w:cstheme="minorHAnsi"/>
          <w:color w:val="auto"/>
        </w:rPr>
        <w:t>projektów</w:t>
      </w:r>
      <w:r w:rsidR="0000589B" w:rsidRPr="0064767E">
        <w:rPr>
          <w:rFonts w:asciiTheme="minorHAnsi" w:hAnsiTheme="minorHAnsi" w:cstheme="minorHAnsi"/>
          <w:color w:val="auto"/>
        </w:rPr>
        <w:t xml:space="preserve"> </w:t>
      </w:r>
      <w:r w:rsidRPr="0064767E">
        <w:rPr>
          <w:rFonts w:asciiTheme="minorHAnsi" w:hAnsiTheme="minorHAnsi" w:cstheme="minorHAnsi"/>
          <w:color w:val="auto"/>
        </w:rPr>
        <w:t>objętych konkursem</w:t>
      </w:r>
      <w:bookmarkEnd w:id="0"/>
    </w:p>
    <w:p w14:paraId="2C5F8F4A" w14:textId="77777777" w:rsidR="004943C7" w:rsidRPr="0064767E" w:rsidRDefault="004943C7" w:rsidP="004943C7">
      <w:pPr>
        <w:rPr>
          <w:rFonts w:cstheme="minorHAnsi"/>
        </w:rPr>
      </w:pPr>
    </w:p>
    <w:p w14:paraId="6908C1DA" w14:textId="1348FF61" w:rsidR="004943C7" w:rsidRPr="0064767E" w:rsidRDefault="004943C7" w:rsidP="004943C7">
      <w:pPr>
        <w:ind w:left="360"/>
        <w:jc w:val="both"/>
        <w:rPr>
          <w:rFonts w:cstheme="minorHAnsi"/>
        </w:rPr>
      </w:pPr>
      <w:r w:rsidRPr="0064767E">
        <w:rPr>
          <w:rFonts w:cstheme="minorHAnsi"/>
        </w:rPr>
        <w:t xml:space="preserve">Wsparcie mogą uzyskać przedsięwzięcia dotyczące </w:t>
      </w:r>
      <w:r w:rsidR="00BA4513">
        <w:rPr>
          <w:rFonts w:cstheme="minorHAnsi"/>
        </w:rPr>
        <w:t>modernizacji</w:t>
      </w:r>
      <w:r w:rsidR="00BA4513" w:rsidRPr="00BA4513">
        <w:rPr>
          <w:rFonts w:cstheme="minorHAnsi"/>
        </w:rPr>
        <w:t xml:space="preserve"> taboru kolejowego poprzez montaż urządzeń ETCS/GSM-R w pojazdach taboru kolejowego</w:t>
      </w:r>
      <w:r w:rsidRPr="0064767E">
        <w:rPr>
          <w:rFonts w:cstheme="minorHAnsi"/>
        </w:rPr>
        <w:t xml:space="preserve">. </w:t>
      </w:r>
    </w:p>
    <w:p w14:paraId="6BD964F2" w14:textId="33A18BF9" w:rsidR="004943C7" w:rsidRPr="0064767E" w:rsidRDefault="004943C7" w:rsidP="004943C7">
      <w:pPr>
        <w:ind w:left="360"/>
        <w:jc w:val="both"/>
        <w:rPr>
          <w:rFonts w:cstheme="minorHAnsi"/>
        </w:rPr>
      </w:pPr>
      <w:r w:rsidRPr="0064767E">
        <w:rPr>
          <w:rFonts w:cstheme="minorHAnsi"/>
        </w:rPr>
        <w:t xml:space="preserve">Konkurs dotyczy realizacji </w:t>
      </w:r>
      <w:r w:rsidR="00BA4513" w:rsidRPr="00BA4513">
        <w:rPr>
          <w:rFonts w:cstheme="minorHAnsi"/>
        </w:rPr>
        <w:t>projektów w zakresie wyposażenia według wzorca 4.0.0 wersji 1.1. lub wyższej pojazdów kolejowych z napędem lub z kabiną sterowniczą w Europejski System Zarządzania Ruchem Kolejowym, obejmujący:</w:t>
      </w:r>
    </w:p>
    <w:p w14:paraId="0E028191" w14:textId="77777777" w:rsidR="00BA4513" w:rsidRPr="00BA4513" w:rsidRDefault="00BA4513" w:rsidP="00BA4513">
      <w:pPr>
        <w:ind w:left="360"/>
        <w:jc w:val="both"/>
        <w:rPr>
          <w:rFonts w:cstheme="minorHAnsi"/>
          <w:bCs/>
        </w:rPr>
      </w:pPr>
      <w:r>
        <w:rPr>
          <w:rFonts w:cstheme="minorHAnsi"/>
          <w:bCs/>
        </w:rPr>
        <w:t xml:space="preserve">1) </w:t>
      </w:r>
      <w:r w:rsidRPr="00BA4513">
        <w:rPr>
          <w:rFonts w:cstheme="minorHAnsi"/>
          <w:bCs/>
        </w:rPr>
        <w:t>urządzenie pokładowe Europejskiego Systemu Sterowania Pociągiem (ETCS) oraz Globalnego Systemu Kolejowej Radiokomunikacji Ruchomej (GSM-R) łącznie albo</w:t>
      </w:r>
    </w:p>
    <w:p w14:paraId="11314FA7" w14:textId="77777777" w:rsidR="00BA4513" w:rsidRPr="00BA4513" w:rsidRDefault="00BA4513" w:rsidP="00BA4513">
      <w:pPr>
        <w:ind w:left="360"/>
        <w:jc w:val="both"/>
        <w:rPr>
          <w:rFonts w:cstheme="minorHAnsi"/>
          <w:bCs/>
        </w:rPr>
      </w:pPr>
      <w:r w:rsidRPr="00BA4513">
        <w:rPr>
          <w:rFonts w:cstheme="minorHAnsi"/>
          <w:bCs/>
        </w:rPr>
        <w:t>2)</w:t>
      </w:r>
      <w:r w:rsidRPr="00BA4513">
        <w:rPr>
          <w:rFonts w:cstheme="minorHAnsi"/>
          <w:bCs/>
        </w:rPr>
        <w:tab/>
        <w:t>tylko urządzenie pokładowe Europejskiego Systemu Sterowania Pociągiem (ETCS) – w przypadku gdy Globalny System Kolejowej Radiokomunikacji Ruchomej (GSM-R) jest już zainstalowany</w:t>
      </w:r>
    </w:p>
    <w:p w14:paraId="2BC96115" w14:textId="5783901E" w:rsidR="00BA4513" w:rsidRPr="00BA4513" w:rsidRDefault="00BA4513" w:rsidP="00BA4513">
      <w:pPr>
        <w:ind w:left="360"/>
        <w:jc w:val="both"/>
        <w:rPr>
          <w:rFonts w:cstheme="minorHAnsi"/>
        </w:rPr>
      </w:pPr>
      <w:r w:rsidRPr="00BA4513">
        <w:rPr>
          <w:rFonts w:cstheme="minorHAnsi"/>
        </w:rPr>
        <w:t>– zwany dalej „systemem ERTMS”, w ramach programu Fundusze Europejskie na Infrastrukturę, Klimat, Środowisko 2021–2027, zwanego dalej „programem</w:t>
      </w:r>
      <w:r w:rsidR="00400DF2">
        <w:rPr>
          <w:rFonts w:cstheme="minorHAnsi"/>
        </w:rPr>
        <w:t>”.</w:t>
      </w:r>
    </w:p>
    <w:p w14:paraId="33B36890" w14:textId="77777777" w:rsidR="002F1AED" w:rsidRDefault="002F1AED" w:rsidP="002F1AED">
      <w:pPr>
        <w:ind w:left="360"/>
        <w:jc w:val="both"/>
        <w:rPr>
          <w:rFonts w:cstheme="minorHAnsi"/>
        </w:rPr>
      </w:pPr>
      <w:r>
        <w:rPr>
          <w:rFonts w:cstheme="minorHAnsi"/>
        </w:rPr>
        <w:t>UWAGA</w:t>
      </w:r>
    </w:p>
    <w:p w14:paraId="7BF65E22" w14:textId="1DFD0470" w:rsidR="00E20E40" w:rsidRDefault="00EB2911" w:rsidP="002F1AED">
      <w:pPr>
        <w:autoSpaceDE w:val="0"/>
        <w:autoSpaceDN w:val="0"/>
        <w:adjustRightInd w:val="0"/>
        <w:spacing w:after="0" w:line="240" w:lineRule="auto"/>
        <w:ind w:left="360"/>
        <w:jc w:val="both"/>
        <w:rPr>
          <w:u w:val="single"/>
        </w:rPr>
      </w:pPr>
      <w:r>
        <w:rPr>
          <w:rFonts w:ascii="Nunito Sans" w:hAnsi="Nunito Sans"/>
          <w:sz w:val="20"/>
          <w:szCs w:val="20"/>
        </w:rPr>
        <w:t>N</w:t>
      </w:r>
      <w:r w:rsidR="008C0650" w:rsidRPr="007F1A54">
        <w:rPr>
          <w:rFonts w:ascii="Nunito Sans" w:hAnsi="Nunito Sans"/>
          <w:sz w:val="20"/>
          <w:szCs w:val="20"/>
        </w:rPr>
        <w:t xml:space="preserve">a podstawie </w:t>
      </w:r>
      <w:r w:rsidR="00CB7AE8">
        <w:rPr>
          <w:rFonts w:ascii="Nunito Sans" w:hAnsi="Nunito Sans"/>
          <w:sz w:val="20"/>
          <w:szCs w:val="20"/>
        </w:rPr>
        <w:t>stanowiska</w:t>
      </w:r>
      <w:r w:rsidR="008C0650" w:rsidRPr="007F1A54">
        <w:rPr>
          <w:rFonts w:ascii="Nunito Sans" w:hAnsi="Nunito Sans"/>
          <w:sz w:val="20"/>
          <w:szCs w:val="20"/>
        </w:rPr>
        <w:t xml:space="preserve"> Urzędu Transportu Kolejowego</w:t>
      </w:r>
      <w:r>
        <w:rPr>
          <w:u w:val="single"/>
        </w:rPr>
        <w:t xml:space="preserve">, </w:t>
      </w:r>
      <w:r w:rsidR="00CB7AE8">
        <w:rPr>
          <w:u w:val="single"/>
        </w:rPr>
        <w:t xml:space="preserve"> przyjęto</w:t>
      </w:r>
      <w:r w:rsidR="002F1AED" w:rsidRPr="000718F5">
        <w:rPr>
          <w:u w:val="single"/>
        </w:rPr>
        <w:t xml:space="preserve">, że wzorce 4.0.0 i 3.6.0 są funkcjonalnie takie same, w przypadku pojazdów wyposażonych w ETCS wprowadzanych do obrotu </w:t>
      </w:r>
      <w:r w:rsidR="002F1AED" w:rsidRPr="000718F5">
        <w:rPr>
          <w:b/>
          <w:u w:val="single"/>
        </w:rPr>
        <w:t>do dnia 28 września 2026 r.</w:t>
      </w:r>
      <w:r w:rsidR="002F1AED" w:rsidRPr="000718F5">
        <w:rPr>
          <w:u w:val="single"/>
        </w:rPr>
        <w:t xml:space="preserve"> </w:t>
      </w:r>
    </w:p>
    <w:p w14:paraId="04BF3CAD" w14:textId="6BCA953F" w:rsidR="002F1AED" w:rsidRPr="000718F5" w:rsidRDefault="002F1AED" w:rsidP="002F1AED">
      <w:pPr>
        <w:autoSpaceDE w:val="0"/>
        <w:autoSpaceDN w:val="0"/>
        <w:adjustRightInd w:val="0"/>
        <w:spacing w:after="0" w:line="240" w:lineRule="auto"/>
        <w:ind w:left="360"/>
        <w:jc w:val="both"/>
        <w:rPr>
          <w:u w:val="single"/>
        </w:rPr>
      </w:pPr>
    </w:p>
    <w:p w14:paraId="692B7250" w14:textId="34773AD6" w:rsidR="00A52578" w:rsidRDefault="00A52578" w:rsidP="004943C7">
      <w:pPr>
        <w:ind w:left="360"/>
        <w:jc w:val="both"/>
        <w:rPr>
          <w:rFonts w:cstheme="minorHAnsi"/>
        </w:rPr>
      </w:pPr>
    </w:p>
    <w:p w14:paraId="5BEC7D65" w14:textId="16A76B0A" w:rsidR="00CB7AE8" w:rsidRDefault="00E20E40" w:rsidP="00E20E40">
      <w:pPr>
        <w:autoSpaceDE w:val="0"/>
        <w:autoSpaceDN w:val="0"/>
        <w:adjustRightInd w:val="0"/>
        <w:spacing w:after="0" w:line="240" w:lineRule="auto"/>
        <w:ind w:left="360"/>
        <w:rPr>
          <w:rFonts w:ascii="Calibri" w:hAnsi="Calibri" w:cs="Calibri"/>
          <w:sz w:val="24"/>
          <w:szCs w:val="24"/>
        </w:rPr>
      </w:pPr>
      <w:r w:rsidRPr="00496C85">
        <w:rPr>
          <w:rFonts w:ascii="Calibri" w:hAnsi="Calibri" w:cs="Calibri"/>
          <w:sz w:val="24"/>
          <w:szCs w:val="24"/>
        </w:rPr>
        <w:t>Zgodnie z</w:t>
      </w:r>
      <w:r w:rsidR="00CB7AE8">
        <w:rPr>
          <w:rFonts w:ascii="Calibri" w:hAnsi="Calibri" w:cs="Calibri"/>
          <w:sz w:val="24"/>
          <w:szCs w:val="24"/>
        </w:rPr>
        <w:t xml:space="preserve"> podsumowaniem, zawartym w </w:t>
      </w:r>
      <w:r w:rsidRPr="00496C85">
        <w:rPr>
          <w:rFonts w:ascii="Calibri" w:hAnsi="Calibri" w:cs="Calibri"/>
          <w:sz w:val="24"/>
          <w:szCs w:val="24"/>
        </w:rPr>
        <w:t>stanowisk</w:t>
      </w:r>
      <w:r w:rsidR="00CB7AE8">
        <w:rPr>
          <w:rFonts w:ascii="Calibri" w:hAnsi="Calibri" w:cs="Calibri"/>
          <w:sz w:val="24"/>
          <w:szCs w:val="24"/>
        </w:rPr>
        <w:t>u</w:t>
      </w:r>
      <w:r w:rsidRPr="00496C85">
        <w:rPr>
          <w:rFonts w:ascii="Calibri" w:hAnsi="Calibri" w:cs="Calibri"/>
          <w:sz w:val="24"/>
          <w:szCs w:val="24"/>
        </w:rPr>
        <w:t xml:space="preserve">  </w:t>
      </w:r>
      <w:r w:rsidRPr="00496C85">
        <w:rPr>
          <w:rFonts w:ascii="Nunito Sans" w:hAnsi="Nunito Sans"/>
          <w:sz w:val="20"/>
          <w:szCs w:val="20"/>
        </w:rPr>
        <w:t>Urzędu Transportu Kolejowego</w:t>
      </w:r>
      <w:r w:rsidRPr="00496C85">
        <w:rPr>
          <w:rFonts w:ascii="Calibri" w:hAnsi="Calibri" w:cs="Calibri"/>
          <w:sz w:val="24"/>
          <w:szCs w:val="24"/>
        </w:rPr>
        <w:t xml:space="preserve"> (UTK)</w:t>
      </w:r>
      <w:r w:rsidR="00CB7AE8">
        <w:rPr>
          <w:rFonts w:ascii="Calibri" w:hAnsi="Calibri" w:cs="Calibri"/>
          <w:sz w:val="24"/>
          <w:szCs w:val="24"/>
        </w:rPr>
        <w:t xml:space="preserve"> z dn. 27.08.2025 r. odnośnie wyboru</w:t>
      </w:r>
      <w:r w:rsidR="00CB7AE8" w:rsidRPr="00CB7AE8">
        <w:rPr>
          <w:rFonts w:ascii="Calibri" w:hAnsi="Calibri" w:cs="Calibri"/>
          <w:sz w:val="24"/>
          <w:szCs w:val="24"/>
        </w:rPr>
        <w:t xml:space="preserve"> wzorca urządzeń pokładowych systemu ETCS</w:t>
      </w:r>
      <w:r w:rsidR="00CB7AE8">
        <w:rPr>
          <w:rFonts w:ascii="Calibri" w:hAnsi="Calibri" w:cs="Calibri"/>
          <w:sz w:val="24"/>
          <w:szCs w:val="24"/>
        </w:rPr>
        <w:t>:</w:t>
      </w:r>
    </w:p>
    <w:p w14:paraId="227D3209" w14:textId="2FC22059" w:rsidR="00E20E40" w:rsidRDefault="00E20E40" w:rsidP="00E20E40">
      <w:pPr>
        <w:autoSpaceDE w:val="0"/>
        <w:autoSpaceDN w:val="0"/>
        <w:adjustRightInd w:val="0"/>
        <w:spacing w:after="0" w:line="240" w:lineRule="auto"/>
        <w:ind w:left="360"/>
        <w:rPr>
          <w:rFonts w:ascii="Calibri" w:hAnsi="Calibri" w:cs="Calibri"/>
          <w:sz w:val="24"/>
          <w:szCs w:val="24"/>
        </w:rPr>
      </w:pPr>
    </w:p>
    <w:p w14:paraId="7F150293" w14:textId="1F3D702A" w:rsidR="00CB7AE8" w:rsidRPr="00CB7AE8" w:rsidRDefault="00021AD2" w:rsidP="00E20E40">
      <w:pPr>
        <w:autoSpaceDE w:val="0"/>
        <w:autoSpaceDN w:val="0"/>
        <w:adjustRightInd w:val="0"/>
        <w:spacing w:after="0" w:line="240" w:lineRule="auto"/>
        <w:ind w:left="360"/>
        <w:rPr>
          <w:rFonts w:ascii="Calibri" w:hAnsi="Calibri" w:cs="Calibri"/>
          <w:i/>
          <w:sz w:val="24"/>
          <w:szCs w:val="24"/>
        </w:rPr>
      </w:pPr>
      <w:r>
        <w:rPr>
          <w:rFonts w:ascii="Calibri" w:hAnsi="Calibri" w:cs="Calibri"/>
          <w:i/>
          <w:sz w:val="24"/>
          <w:szCs w:val="24"/>
        </w:rPr>
        <w:t>„</w:t>
      </w:r>
      <w:r w:rsidR="00CB7AE8" w:rsidRPr="00CB7AE8">
        <w:rPr>
          <w:rFonts w:ascii="Calibri" w:hAnsi="Calibri" w:cs="Calibri"/>
          <w:i/>
          <w:sz w:val="24"/>
          <w:szCs w:val="24"/>
        </w:rPr>
        <w:t>Po</w:t>
      </w:r>
      <w:r>
        <w:rPr>
          <w:rFonts w:ascii="Calibri" w:hAnsi="Calibri" w:cs="Calibri"/>
          <w:i/>
          <w:sz w:val="24"/>
          <w:szCs w:val="24"/>
        </w:rPr>
        <w:t>d</w:t>
      </w:r>
      <w:r w:rsidR="00CB7AE8" w:rsidRPr="00CB7AE8">
        <w:rPr>
          <w:rFonts w:ascii="Calibri" w:hAnsi="Calibri" w:cs="Calibri"/>
          <w:i/>
          <w:sz w:val="24"/>
          <w:szCs w:val="24"/>
        </w:rPr>
        <w:t>sumowując:</w:t>
      </w:r>
    </w:p>
    <w:p w14:paraId="37F55099" w14:textId="455FB546" w:rsidR="00E20E40" w:rsidRPr="00CB7AE8" w:rsidRDefault="00CB7AE8" w:rsidP="00E20E40">
      <w:pPr>
        <w:pStyle w:val="Akapitzlist"/>
        <w:numPr>
          <w:ilvl w:val="0"/>
          <w:numId w:val="17"/>
        </w:numPr>
        <w:autoSpaceDE w:val="0"/>
        <w:autoSpaceDN w:val="0"/>
        <w:adjustRightInd w:val="0"/>
        <w:spacing w:after="0" w:line="240" w:lineRule="auto"/>
        <w:ind w:left="1136"/>
        <w:rPr>
          <w:rFonts w:ascii="Calibri" w:hAnsi="Calibri" w:cs="Calibri"/>
          <w:i/>
          <w:sz w:val="24"/>
          <w:szCs w:val="24"/>
        </w:rPr>
      </w:pPr>
      <w:r w:rsidRPr="00CB7AE8">
        <w:rPr>
          <w:rFonts w:ascii="Calibri" w:hAnsi="Calibri" w:cs="Calibri"/>
          <w:i/>
          <w:sz w:val="24"/>
          <w:szCs w:val="24"/>
        </w:rPr>
        <w:t xml:space="preserve">zastosowanie obydwu wzorców (zarówno 3.6.0, jak i 4.0.0) </w:t>
      </w:r>
      <w:r w:rsidR="00E20E40" w:rsidRPr="00CB7AE8">
        <w:rPr>
          <w:rFonts w:ascii="Calibri" w:hAnsi="Calibri" w:cs="Calibri"/>
          <w:i/>
          <w:sz w:val="24"/>
          <w:szCs w:val="24"/>
        </w:rPr>
        <w:t>spełni wymagania programu pomocowego ze względu na to, że wersje systemu pochodzące z obydwu tych wzorców są funkcjonalnie takie same</w:t>
      </w:r>
      <w:r w:rsidRPr="00CB7AE8">
        <w:rPr>
          <w:rFonts w:ascii="Calibri" w:hAnsi="Calibri" w:cs="Calibri"/>
          <w:i/>
          <w:sz w:val="24"/>
          <w:szCs w:val="24"/>
        </w:rPr>
        <w:t>,</w:t>
      </w:r>
    </w:p>
    <w:p w14:paraId="5921C271" w14:textId="77777777" w:rsidR="00E20E40" w:rsidRPr="00CB7AE8" w:rsidRDefault="00E20E40" w:rsidP="00E20E40">
      <w:pPr>
        <w:pStyle w:val="Akapitzlist"/>
        <w:numPr>
          <w:ilvl w:val="0"/>
          <w:numId w:val="17"/>
        </w:numPr>
        <w:autoSpaceDE w:val="0"/>
        <w:autoSpaceDN w:val="0"/>
        <w:adjustRightInd w:val="0"/>
        <w:spacing w:after="0" w:line="240" w:lineRule="auto"/>
        <w:ind w:left="1136"/>
        <w:rPr>
          <w:rFonts w:ascii="Calibri" w:hAnsi="Calibri" w:cs="Calibri"/>
          <w:i/>
          <w:sz w:val="24"/>
          <w:szCs w:val="24"/>
        </w:rPr>
      </w:pPr>
      <w:r w:rsidRPr="00CB7AE8">
        <w:rPr>
          <w:rFonts w:ascii="Calibri" w:hAnsi="Calibri" w:cs="Calibri"/>
          <w:i/>
          <w:sz w:val="24"/>
          <w:szCs w:val="24"/>
        </w:rPr>
        <w:t>w przypadku projektów realizowanych po uzyskaniu dofinansowania warto wymagać stosowania jak najwyższego wzorca (w tym przypadku 4.0.0.).</w:t>
      </w:r>
    </w:p>
    <w:p w14:paraId="06019B4A" w14:textId="4040F127" w:rsidR="00E20E40" w:rsidRDefault="00CB7AE8" w:rsidP="00E20E40">
      <w:pPr>
        <w:autoSpaceDE w:val="0"/>
        <w:autoSpaceDN w:val="0"/>
        <w:adjustRightInd w:val="0"/>
        <w:spacing w:after="0" w:line="240" w:lineRule="auto"/>
        <w:ind w:left="360"/>
        <w:jc w:val="both"/>
        <w:rPr>
          <w:rFonts w:ascii="Calibri" w:hAnsi="Calibri" w:cs="Calibri"/>
          <w:sz w:val="24"/>
          <w:szCs w:val="24"/>
        </w:rPr>
      </w:pPr>
      <w:r w:rsidRPr="00CB7AE8">
        <w:rPr>
          <w:rFonts w:ascii="Calibri" w:hAnsi="Calibri" w:cs="Calibri"/>
          <w:i/>
          <w:sz w:val="24"/>
          <w:szCs w:val="24"/>
        </w:rPr>
        <w:t xml:space="preserve">Nasze stanowisko </w:t>
      </w:r>
      <w:r w:rsidR="00E20E40" w:rsidRPr="00CB7AE8">
        <w:rPr>
          <w:rFonts w:ascii="Calibri" w:hAnsi="Calibri" w:cs="Calibri"/>
          <w:i/>
          <w:sz w:val="24"/>
          <w:szCs w:val="24"/>
        </w:rPr>
        <w:t>może</w:t>
      </w:r>
      <w:r w:rsidRPr="00CB7AE8">
        <w:rPr>
          <w:rFonts w:ascii="Calibri" w:hAnsi="Calibri" w:cs="Calibri"/>
          <w:i/>
          <w:sz w:val="24"/>
          <w:szCs w:val="24"/>
        </w:rPr>
        <w:t>my</w:t>
      </w:r>
      <w:r w:rsidR="00E20E40" w:rsidRPr="00CB7AE8">
        <w:rPr>
          <w:rFonts w:ascii="Calibri" w:hAnsi="Calibri" w:cs="Calibri"/>
          <w:i/>
          <w:sz w:val="24"/>
          <w:szCs w:val="24"/>
        </w:rPr>
        <w:t xml:space="preserve"> uzupełni</w:t>
      </w:r>
      <w:r w:rsidRPr="00CB7AE8">
        <w:rPr>
          <w:rFonts w:ascii="Calibri" w:hAnsi="Calibri" w:cs="Calibri"/>
          <w:i/>
          <w:sz w:val="24"/>
          <w:szCs w:val="24"/>
        </w:rPr>
        <w:t>ć</w:t>
      </w:r>
      <w:r w:rsidR="00E20E40" w:rsidRPr="00CB7AE8">
        <w:rPr>
          <w:rFonts w:ascii="Calibri" w:hAnsi="Calibri" w:cs="Calibri"/>
          <w:i/>
          <w:sz w:val="24"/>
          <w:szCs w:val="24"/>
        </w:rPr>
        <w:t xml:space="preserve"> w przypadku uzyskania od Komisji Europejskiej danych dotycząc</w:t>
      </w:r>
      <w:r w:rsidR="00E20E40">
        <w:rPr>
          <w:rFonts w:ascii="Calibri" w:hAnsi="Calibri" w:cs="Calibri"/>
          <w:sz w:val="24"/>
          <w:szCs w:val="24"/>
        </w:rPr>
        <w:t>ych dostępności urządzeń pokładowych ETCS zbudowanych według wzorca 4.0.0.</w:t>
      </w:r>
      <w:r>
        <w:rPr>
          <w:rFonts w:ascii="Calibri" w:hAnsi="Calibri" w:cs="Calibri"/>
          <w:sz w:val="24"/>
          <w:szCs w:val="24"/>
        </w:rPr>
        <w:t>”.</w:t>
      </w:r>
    </w:p>
    <w:p w14:paraId="5D18FBB5" w14:textId="77777777" w:rsidR="00E20E40" w:rsidRDefault="00E20E40" w:rsidP="004943C7">
      <w:pPr>
        <w:ind w:left="360"/>
        <w:jc w:val="both"/>
        <w:rPr>
          <w:rFonts w:cstheme="minorHAnsi"/>
        </w:rPr>
      </w:pPr>
    </w:p>
    <w:p w14:paraId="5ED31852" w14:textId="6F7EA922" w:rsidR="004943C7" w:rsidRPr="0064767E" w:rsidRDefault="00BA4513" w:rsidP="004943C7">
      <w:pPr>
        <w:ind w:left="360"/>
        <w:jc w:val="both"/>
        <w:rPr>
          <w:rFonts w:cstheme="minorHAnsi"/>
        </w:rPr>
      </w:pPr>
      <w:r>
        <w:rPr>
          <w:rFonts w:cstheme="minorHAnsi"/>
        </w:rPr>
        <w:lastRenderedPageBreak/>
        <w:t>Projekty</w:t>
      </w:r>
      <w:r w:rsidRPr="0064767E">
        <w:rPr>
          <w:rFonts w:cstheme="minorHAnsi"/>
        </w:rPr>
        <w:t xml:space="preserve"> </w:t>
      </w:r>
      <w:r>
        <w:rPr>
          <w:rFonts w:cstheme="minorHAnsi"/>
        </w:rPr>
        <w:t>mogą dotyczyć</w:t>
      </w:r>
      <w:r w:rsidR="004943C7" w:rsidRPr="0064767E">
        <w:rPr>
          <w:rFonts w:cstheme="minorHAnsi"/>
        </w:rPr>
        <w:t xml:space="preserve"> pojazd</w:t>
      </w:r>
      <w:r>
        <w:rPr>
          <w:rFonts w:cstheme="minorHAnsi"/>
        </w:rPr>
        <w:t>ów</w:t>
      </w:r>
      <w:r w:rsidR="004943C7" w:rsidRPr="0064767E">
        <w:rPr>
          <w:rFonts w:cstheme="minorHAnsi"/>
        </w:rPr>
        <w:t xml:space="preserve"> kolejow</w:t>
      </w:r>
      <w:r>
        <w:rPr>
          <w:rFonts w:cstheme="minorHAnsi"/>
        </w:rPr>
        <w:t>ych</w:t>
      </w:r>
      <w:r w:rsidR="004943C7" w:rsidRPr="0064767E">
        <w:rPr>
          <w:rFonts w:cstheme="minorHAnsi"/>
        </w:rPr>
        <w:t xml:space="preserve"> z napędem lub z kabiną sterowniczą </w:t>
      </w:r>
      <w:r w:rsidR="004943C7" w:rsidRPr="00A52578">
        <w:rPr>
          <w:rFonts w:cstheme="minorHAnsi"/>
        </w:rPr>
        <w:t>nie</w:t>
      </w:r>
      <w:r w:rsidRPr="00A52578">
        <w:rPr>
          <w:rFonts w:cstheme="minorHAnsi"/>
        </w:rPr>
        <w:t xml:space="preserve"> </w:t>
      </w:r>
      <w:r w:rsidR="004943C7" w:rsidRPr="00A52578">
        <w:rPr>
          <w:rFonts w:cstheme="minorHAnsi"/>
        </w:rPr>
        <w:t>mając</w:t>
      </w:r>
      <w:r w:rsidRPr="00A52578">
        <w:rPr>
          <w:rFonts w:cstheme="minorHAnsi"/>
        </w:rPr>
        <w:t>ych</w:t>
      </w:r>
      <w:r w:rsidR="004943C7" w:rsidRPr="00A52578">
        <w:rPr>
          <w:rFonts w:cstheme="minorHAnsi"/>
        </w:rPr>
        <w:t xml:space="preserve"> więcej niż 35 lat, licząc od daty ich produkcji, lub więcej niż 10 lat, licząc od daty wykonania</w:t>
      </w:r>
      <w:r w:rsidR="004943C7" w:rsidRPr="00750746">
        <w:rPr>
          <w:rFonts w:cstheme="minorHAnsi"/>
        </w:rPr>
        <w:t>:</w:t>
      </w:r>
    </w:p>
    <w:p w14:paraId="6358E810" w14:textId="77777777" w:rsidR="004943C7" w:rsidRPr="0064767E" w:rsidRDefault="004943C7" w:rsidP="004943C7">
      <w:pPr>
        <w:ind w:left="360"/>
        <w:jc w:val="both"/>
        <w:rPr>
          <w:rFonts w:cstheme="minorHAnsi"/>
        </w:rPr>
      </w:pPr>
      <w:r w:rsidRPr="0064767E">
        <w:rPr>
          <w:rFonts w:cstheme="minorHAnsi"/>
        </w:rPr>
        <w:t>1)</w:t>
      </w:r>
      <w:r w:rsidRPr="0064767E">
        <w:rPr>
          <w:rFonts w:cstheme="minorHAnsi"/>
        </w:rPr>
        <w:tab/>
        <w:t>prac modyfikacyjnych w pojeździe kolejowym, które zmieniają przeznaczenie pojazdu kolejowego lub poprawiają jego ogólne osiągi techniczne, w tym zmiany charakterystyki trakcyjnej, prędkości maksymalnej, mocy oraz zdolności do zasilania w różnych systemach;</w:t>
      </w:r>
    </w:p>
    <w:p w14:paraId="64CBABB1" w14:textId="77777777" w:rsidR="004943C7" w:rsidRPr="0064767E" w:rsidRDefault="004943C7" w:rsidP="004943C7">
      <w:pPr>
        <w:ind w:left="360"/>
        <w:jc w:val="both"/>
        <w:rPr>
          <w:rFonts w:cstheme="minorHAnsi"/>
        </w:rPr>
      </w:pPr>
      <w:r w:rsidRPr="0064767E">
        <w:rPr>
          <w:rFonts w:cstheme="minorHAnsi"/>
        </w:rPr>
        <w:t>2)</w:t>
      </w:r>
      <w:r w:rsidRPr="0064767E">
        <w:rPr>
          <w:rFonts w:cstheme="minorHAnsi"/>
        </w:rPr>
        <w:tab/>
        <w:t>czynności mających na celu podniesienie standardu pojazdu kolejowego lub jego odnowienie w</w:t>
      </w:r>
      <w:r w:rsidR="00BA4513">
        <w:rPr>
          <w:rFonts w:cstheme="minorHAnsi"/>
        </w:rPr>
        <w:t>ykonane w</w:t>
      </w:r>
      <w:r w:rsidRPr="0064767E">
        <w:rPr>
          <w:rFonts w:cstheme="minorHAnsi"/>
        </w:rPr>
        <w:t xml:space="preserve"> wyspecjalizowanych zakładach lub u producenta na poziomie 5 utrzymania pojazdu kolejowego, o którym mowa w załączniku nr 3 do rozporządzenia Ministra Infrastruktury z dnia 12 października 2005 r. w sprawie ogólnych warunków technicznych eksploatacji pojazdów kolejowych (Dz. U. z 2016 r. poz. 226 oraz z 2017 r. poz. 1525).</w:t>
      </w:r>
    </w:p>
    <w:p w14:paraId="74868522" w14:textId="77777777" w:rsidR="004943C7" w:rsidRPr="0064767E" w:rsidRDefault="004943C7" w:rsidP="004943C7">
      <w:pPr>
        <w:ind w:left="360"/>
        <w:jc w:val="both"/>
        <w:rPr>
          <w:rFonts w:cstheme="minorHAnsi"/>
        </w:rPr>
      </w:pPr>
    </w:p>
    <w:p w14:paraId="549C6A33" w14:textId="6814A517" w:rsidR="004943C7" w:rsidRPr="0064767E" w:rsidRDefault="004943C7" w:rsidP="004943C7">
      <w:pPr>
        <w:pStyle w:val="Nagwek2"/>
        <w:numPr>
          <w:ilvl w:val="0"/>
          <w:numId w:val="9"/>
        </w:numPr>
        <w:spacing w:after="240"/>
        <w:rPr>
          <w:rFonts w:asciiTheme="minorHAnsi" w:hAnsiTheme="minorHAnsi" w:cstheme="minorHAnsi"/>
          <w:color w:val="auto"/>
        </w:rPr>
      </w:pPr>
      <w:bookmarkStart w:id="1" w:name="_Toc178579835"/>
      <w:r w:rsidRPr="0064767E">
        <w:rPr>
          <w:rFonts w:asciiTheme="minorHAnsi" w:hAnsiTheme="minorHAnsi" w:cstheme="minorHAnsi"/>
          <w:color w:val="auto"/>
        </w:rPr>
        <w:t xml:space="preserve">Zakres </w:t>
      </w:r>
      <w:r w:rsidR="0000589B">
        <w:rPr>
          <w:rFonts w:asciiTheme="minorHAnsi" w:hAnsiTheme="minorHAnsi" w:cstheme="minorHAnsi"/>
          <w:color w:val="auto"/>
        </w:rPr>
        <w:t>projektów</w:t>
      </w:r>
      <w:r w:rsidR="00CB7AE8">
        <w:rPr>
          <w:rFonts w:asciiTheme="minorHAnsi" w:hAnsiTheme="minorHAnsi" w:cstheme="minorHAnsi"/>
          <w:color w:val="auto"/>
        </w:rPr>
        <w:t xml:space="preserve"> i </w:t>
      </w:r>
      <w:r w:rsidRPr="0064767E">
        <w:rPr>
          <w:rFonts w:asciiTheme="minorHAnsi" w:hAnsiTheme="minorHAnsi" w:cstheme="minorHAnsi"/>
          <w:color w:val="auto"/>
        </w:rPr>
        <w:t xml:space="preserve"> kwalifikowalność wydatków</w:t>
      </w:r>
      <w:bookmarkEnd w:id="1"/>
    </w:p>
    <w:p w14:paraId="0FA30923" w14:textId="77777777" w:rsidR="004943C7" w:rsidRPr="003D4E88" w:rsidRDefault="004943C7" w:rsidP="004943C7">
      <w:pPr>
        <w:ind w:left="360"/>
        <w:jc w:val="both"/>
        <w:rPr>
          <w:rFonts w:cstheme="minorHAnsi"/>
          <w:b/>
        </w:rPr>
      </w:pPr>
      <w:r w:rsidRPr="003D4E88">
        <w:rPr>
          <w:rFonts w:cstheme="minorHAnsi"/>
          <w:b/>
        </w:rPr>
        <w:t>Wnioskodawca musi zobowiązać się:</w:t>
      </w:r>
    </w:p>
    <w:p w14:paraId="7CA238B0" w14:textId="0368BBB6" w:rsidR="004943C7" w:rsidRPr="0064767E" w:rsidRDefault="004943C7" w:rsidP="004943C7">
      <w:pPr>
        <w:ind w:left="709" w:hanging="283"/>
        <w:jc w:val="both"/>
        <w:rPr>
          <w:rFonts w:cstheme="minorHAnsi"/>
        </w:rPr>
      </w:pPr>
      <w:r w:rsidRPr="0064767E">
        <w:rPr>
          <w:rFonts w:cstheme="minorHAnsi"/>
        </w:rPr>
        <w:t xml:space="preserve">a) że </w:t>
      </w:r>
      <w:r w:rsidR="00BA4513" w:rsidRPr="001D6B04">
        <w:rPr>
          <w:rFonts w:cstheme="minorHAnsi"/>
        </w:rPr>
        <w:t xml:space="preserve">projekt </w:t>
      </w:r>
      <w:r w:rsidRPr="001D6B04">
        <w:rPr>
          <w:rFonts w:cstheme="minorHAnsi"/>
        </w:rPr>
        <w:t>zachowa trwałość</w:t>
      </w:r>
      <w:r w:rsidRPr="0064767E">
        <w:rPr>
          <w:rFonts w:cstheme="minorHAnsi"/>
        </w:rPr>
        <w:t xml:space="preserve"> zgodnie z </w:t>
      </w:r>
      <w:r w:rsidR="00BA4513" w:rsidRPr="00BA4513">
        <w:rPr>
          <w:rFonts w:cstheme="minorHAnsi"/>
        </w:rPr>
        <w:t xml:space="preserve"> art. 65 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00BA4513" w:rsidRPr="00BA4513">
        <w:rPr>
          <w:rFonts w:cstheme="minorHAnsi"/>
        </w:rPr>
        <w:t>późn</w:t>
      </w:r>
      <w:proofErr w:type="spellEnd"/>
      <w:r w:rsidR="00BA4513" w:rsidRPr="00BA4513">
        <w:rPr>
          <w:rFonts w:cstheme="minorHAnsi"/>
        </w:rPr>
        <w:t>. zm.</w:t>
      </w:r>
      <w:r w:rsidR="00BA4513" w:rsidRPr="00BA4513">
        <w:rPr>
          <w:rFonts w:cstheme="minorHAnsi"/>
          <w:vertAlign w:val="superscript"/>
        </w:rPr>
        <w:footnoteReference w:id="1"/>
      </w:r>
      <w:r w:rsidR="00BA4513" w:rsidRPr="00BA4513">
        <w:rPr>
          <w:rFonts w:cstheme="minorHAnsi"/>
          <w:vertAlign w:val="superscript"/>
        </w:rPr>
        <w:t>)</w:t>
      </w:r>
      <w:r w:rsidR="00BA4513" w:rsidRPr="00BA4513">
        <w:rPr>
          <w:rFonts w:cstheme="minorHAnsi"/>
        </w:rPr>
        <w:t>), zwanego dalej „rozporządzeniem 2021/1060”</w:t>
      </w:r>
      <w:r w:rsidRPr="0064767E">
        <w:rPr>
          <w:rFonts w:cstheme="minorHAnsi"/>
        </w:rPr>
        <w:t>;</w:t>
      </w:r>
    </w:p>
    <w:p w14:paraId="7665A1E2" w14:textId="03D7C3A4" w:rsidR="004943C7" w:rsidRPr="0064767E" w:rsidRDefault="004943C7" w:rsidP="004943C7">
      <w:pPr>
        <w:ind w:left="709" w:hanging="283"/>
        <w:jc w:val="both"/>
        <w:rPr>
          <w:rFonts w:cstheme="minorHAnsi"/>
        </w:rPr>
      </w:pPr>
      <w:r w:rsidRPr="0064767E">
        <w:rPr>
          <w:rFonts w:cstheme="minorHAnsi"/>
        </w:rPr>
        <w:t>b)</w:t>
      </w:r>
      <w:r w:rsidRPr="0064767E">
        <w:rPr>
          <w:rFonts w:cstheme="minorHAnsi"/>
        </w:rPr>
        <w:tab/>
        <w:t xml:space="preserve">że pojazdy kolejowe z napędem lub z kabiną sterowniczą objęte pomocą będą </w:t>
      </w:r>
      <w:r w:rsidR="00BA4513" w:rsidRPr="00BA4513">
        <w:rPr>
          <w:rFonts w:cstheme="minorHAnsi"/>
        </w:rPr>
        <w:t xml:space="preserve">wykorzystywane </w:t>
      </w:r>
      <w:bookmarkStart w:id="2" w:name="_Hlk166739082"/>
      <w:r w:rsidR="00BA4513" w:rsidRPr="00BA4513">
        <w:rPr>
          <w:rFonts w:cstheme="minorHAnsi"/>
        </w:rPr>
        <w:t>do wykonywania działalności na terytorium Rzeczypospolitej Polskiej, w szczególności do przewozów kolejowych, które mają swój początek lub koniec na terytorium Rzeczypospolitej Polskiej lub których trasa przebiega przez terytorium Rzeczypospolitej Polskiej</w:t>
      </w:r>
      <w:bookmarkEnd w:id="2"/>
      <w:r w:rsidRPr="0064767E">
        <w:rPr>
          <w:rFonts w:cstheme="minorHAnsi"/>
        </w:rPr>
        <w:t>;</w:t>
      </w:r>
    </w:p>
    <w:p w14:paraId="34005550" w14:textId="4BED577B" w:rsidR="004943C7" w:rsidRPr="0064767E" w:rsidRDefault="004943C7" w:rsidP="004943C7">
      <w:pPr>
        <w:ind w:left="709" w:hanging="283"/>
        <w:jc w:val="both"/>
        <w:rPr>
          <w:rFonts w:cstheme="minorHAnsi"/>
        </w:rPr>
      </w:pPr>
      <w:r w:rsidRPr="0064767E">
        <w:rPr>
          <w:rFonts w:cstheme="minorHAnsi"/>
        </w:rPr>
        <w:t>c)</w:t>
      </w:r>
      <w:r w:rsidRPr="0064767E">
        <w:rPr>
          <w:rFonts w:cstheme="minorHAnsi"/>
        </w:rPr>
        <w:tab/>
        <w:t xml:space="preserve">że pojazdy kolejowe z napędem lub z kabiną sterowniczą </w:t>
      </w:r>
      <w:r w:rsidR="00BA4513" w:rsidRPr="00BA4513">
        <w:rPr>
          <w:rFonts w:cstheme="minorHAnsi"/>
        </w:rPr>
        <w:t xml:space="preserve">będą udostępniane na przejrzystych, równych i niedyskryminujących warunkach </w:t>
      </w:r>
      <w:r w:rsidR="00BA4513" w:rsidRPr="00BA4513">
        <w:rPr>
          <w:rFonts w:cstheme="minorHAnsi"/>
        </w:rPr>
        <w:sym w:font="Symbol" w:char="F02D"/>
      </w:r>
      <w:r w:rsidR="00BA4513" w:rsidRPr="00BA4513">
        <w:rPr>
          <w:rFonts w:cstheme="minorHAnsi"/>
        </w:rPr>
        <w:t xml:space="preserve"> w przypadku przedsiębiorstwa prowadzącego działalność gospodarczą polegającą na wynajmowaniu lub leasingu pojazdów kolejowych z napędem lub z kabiną sterowniczą</w:t>
      </w:r>
      <w:r w:rsidRPr="0064767E">
        <w:rPr>
          <w:rFonts w:cstheme="minorHAnsi"/>
        </w:rPr>
        <w:t>;</w:t>
      </w:r>
    </w:p>
    <w:p w14:paraId="1CB89BBC" w14:textId="069AFF9F" w:rsidR="004943C7" w:rsidRPr="0064767E" w:rsidRDefault="004943C7" w:rsidP="001D6B04">
      <w:pPr>
        <w:ind w:left="709" w:hanging="283"/>
        <w:jc w:val="both"/>
        <w:rPr>
          <w:rFonts w:cstheme="minorHAnsi"/>
        </w:rPr>
      </w:pPr>
    </w:p>
    <w:p w14:paraId="713B4DCA" w14:textId="77777777" w:rsidR="004943C7" w:rsidRPr="0064767E" w:rsidRDefault="004943C7" w:rsidP="004943C7">
      <w:pPr>
        <w:ind w:left="360"/>
        <w:jc w:val="both"/>
        <w:rPr>
          <w:rFonts w:cstheme="minorHAnsi"/>
        </w:rPr>
      </w:pPr>
      <w:r w:rsidRPr="0064767E">
        <w:rPr>
          <w:rFonts w:cstheme="minorHAnsi"/>
          <w:b/>
        </w:rPr>
        <w:t>Do wydatków kwalifikowalnych</w:t>
      </w:r>
      <w:r w:rsidRPr="0064767E">
        <w:rPr>
          <w:rFonts w:cstheme="minorHAnsi"/>
        </w:rPr>
        <w:t xml:space="preserve"> zalicza się niezbędne do realizacji przedsięwzięcia wydatki to jest koszty wymienione w § 4 ust. 1 rozporządzenia ERTMS poniesione na:</w:t>
      </w:r>
    </w:p>
    <w:p w14:paraId="0B243E10" w14:textId="77777777" w:rsidR="004943C7" w:rsidRPr="00A52578" w:rsidRDefault="004943C7" w:rsidP="004943C7">
      <w:pPr>
        <w:pStyle w:val="Akapitzlist"/>
        <w:numPr>
          <w:ilvl w:val="0"/>
          <w:numId w:val="10"/>
        </w:numPr>
        <w:jc w:val="both"/>
        <w:rPr>
          <w:rFonts w:cstheme="minorHAnsi"/>
        </w:rPr>
      </w:pPr>
      <w:r w:rsidRPr="00A52578">
        <w:rPr>
          <w:rFonts w:cstheme="minorHAnsi"/>
        </w:rPr>
        <w:t>system ERTMS w ramach zakupu nowego pojazdu kolejowego z napędem lub z kabiną sterowniczą;</w:t>
      </w:r>
    </w:p>
    <w:p w14:paraId="086DB313" w14:textId="77777777" w:rsidR="004943C7" w:rsidRPr="00A52578" w:rsidRDefault="004943C7" w:rsidP="004943C7">
      <w:pPr>
        <w:pStyle w:val="Akapitzlist"/>
        <w:numPr>
          <w:ilvl w:val="0"/>
          <w:numId w:val="10"/>
        </w:numPr>
        <w:jc w:val="both"/>
        <w:rPr>
          <w:rFonts w:cstheme="minorHAnsi"/>
        </w:rPr>
      </w:pPr>
      <w:r w:rsidRPr="00A52578">
        <w:rPr>
          <w:rFonts w:cstheme="minorHAnsi"/>
        </w:rPr>
        <w:lastRenderedPageBreak/>
        <w:t>modernizację taboru kolejowego polegającą na wyposażeniu pojazdów kolejowych z napędem lub z kabiną sterowniczą w system ERTMS;</w:t>
      </w:r>
    </w:p>
    <w:p w14:paraId="737B8969" w14:textId="77777777" w:rsidR="004943C7" w:rsidRPr="00A52578" w:rsidRDefault="004943C7" w:rsidP="004943C7">
      <w:pPr>
        <w:pStyle w:val="Akapitzlist"/>
        <w:numPr>
          <w:ilvl w:val="0"/>
          <w:numId w:val="10"/>
        </w:numPr>
        <w:jc w:val="both"/>
        <w:rPr>
          <w:rFonts w:cstheme="minorHAnsi"/>
        </w:rPr>
      </w:pPr>
      <w:r w:rsidRPr="00A52578">
        <w:rPr>
          <w:rFonts w:cstheme="minorHAnsi"/>
        </w:rPr>
        <w:t>aktualizację systemu ERTMS;</w:t>
      </w:r>
    </w:p>
    <w:p w14:paraId="6553731C" w14:textId="77777777" w:rsidR="004943C7" w:rsidRPr="00A52578" w:rsidRDefault="004943C7" w:rsidP="004943C7">
      <w:pPr>
        <w:pStyle w:val="Akapitzlist"/>
        <w:numPr>
          <w:ilvl w:val="0"/>
          <w:numId w:val="10"/>
        </w:numPr>
        <w:jc w:val="both"/>
        <w:rPr>
          <w:rFonts w:cstheme="minorHAnsi"/>
        </w:rPr>
      </w:pPr>
      <w:r w:rsidRPr="00A52578">
        <w:rPr>
          <w:rFonts w:cstheme="minorHAnsi"/>
        </w:rPr>
        <w:t>sprzęt i aparaturę wykorzystywane w zakresie obsługi, diagnostyki i utrzymania systemu ERTMS;</w:t>
      </w:r>
    </w:p>
    <w:p w14:paraId="710B1965" w14:textId="77777777" w:rsidR="004943C7" w:rsidRPr="00A52578" w:rsidRDefault="004943C7" w:rsidP="004943C7">
      <w:pPr>
        <w:pStyle w:val="Akapitzlist"/>
        <w:numPr>
          <w:ilvl w:val="0"/>
          <w:numId w:val="10"/>
        </w:numPr>
        <w:jc w:val="both"/>
        <w:rPr>
          <w:rFonts w:cstheme="minorHAnsi"/>
        </w:rPr>
      </w:pPr>
      <w:r w:rsidRPr="00A52578">
        <w:rPr>
          <w:rFonts w:cstheme="minorHAnsi"/>
        </w:rPr>
        <w:t>certyfikację, badania oraz uzyskanie zezwolenia dla typu pojazdu lub zezwolenia na wprowadzenie pojazdu kolejowego do obrotu w zakresie pojazdów kolejowych z napędem lub z kabiną sterowniczą.</w:t>
      </w:r>
    </w:p>
    <w:p w14:paraId="51DA2DB4" w14:textId="3CC67B3E" w:rsidR="004943C7" w:rsidRDefault="004943C7" w:rsidP="004943C7">
      <w:pPr>
        <w:pStyle w:val="Akapitzlist"/>
        <w:jc w:val="both"/>
        <w:rPr>
          <w:rFonts w:cstheme="minorHAnsi"/>
        </w:rPr>
      </w:pPr>
    </w:p>
    <w:p w14:paraId="3A182F87" w14:textId="3E773421" w:rsidR="004943C7" w:rsidRPr="0064767E" w:rsidRDefault="004943C7" w:rsidP="004943C7">
      <w:pPr>
        <w:ind w:left="426"/>
        <w:jc w:val="both"/>
        <w:rPr>
          <w:rFonts w:cstheme="minorHAnsi"/>
          <w:b/>
        </w:rPr>
      </w:pPr>
      <w:r w:rsidRPr="0064767E">
        <w:rPr>
          <w:rFonts w:cstheme="minorHAnsi"/>
          <w:b/>
        </w:rPr>
        <w:t>Koszty niekwalifikowalne:</w:t>
      </w:r>
    </w:p>
    <w:p w14:paraId="4CE41F6A" w14:textId="67F3C269" w:rsidR="004943C7" w:rsidRPr="0064767E" w:rsidRDefault="004943C7" w:rsidP="004943C7">
      <w:pPr>
        <w:pStyle w:val="Akapitzlist"/>
        <w:numPr>
          <w:ilvl w:val="0"/>
          <w:numId w:val="11"/>
        </w:numPr>
        <w:spacing w:after="120"/>
        <w:contextualSpacing w:val="0"/>
        <w:jc w:val="both"/>
        <w:rPr>
          <w:rFonts w:cstheme="minorHAnsi"/>
        </w:rPr>
      </w:pPr>
      <w:r w:rsidRPr="0064767E">
        <w:rPr>
          <w:rFonts w:cstheme="minorHAnsi"/>
        </w:rPr>
        <w:t>podatek VAT;</w:t>
      </w:r>
    </w:p>
    <w:p w14:paraId="66960963" w14:textId="77777777" w:rsidR="004943C7" w:rsidRPr="0064767E" w:rsidRDefault="004943C7" w:rsidP="004943C7">
      <w:pPr>
        <w:pStyle w:val="Akapitzlist"/>
        <w:numPr>
          <w:ilvl w:val="0"/>
          <w:numId w:val="11"/>
        </w:numPr>
        <w:spacing w:after="120"/>
        <w:contextualSpacing w:val="0"/>
        <w:jc w:val="both"/>
        <w:rPr>
          <w:rFonts w:cstheme="minorHAnsi"/>
        </w:rPr>
      </w:pPr>
      <w:r w:rsidRPr="0064767E">
        <w:rPr>
          <w:rFonts w:cstheme="minorHAnsi"/>
        </w:rPr>
        <w:t>wydatki osobowe nie mogą być uznane za koszt kwalifikowalny;</w:t>
      </w:r>
    </w:p>
    <w:p w14:paraId="24F2F9AD" w14:textId="77777777" w:rsidR="004943C7" w:rsidRPr="0064767E" w:rsidRDefault="004943C7" w:rsidP="004943C7">
      <w:pPr>
        <w:pStyle w:val="Akapitzlist"/>
        <w:numPr>
          <w:ilvl w:val="0"/>
          <w:numId w:val="11"/>
        </w:numPr>
        <w:contextualSpacing w:val="0"/>
        <w:jc w:val="both"/>
        <w:rPr>
          <w:rFonts w:cstheme="minorHAnsi"/>
          <w:b/>
        </w:rPr>
      </w:pPr>
      <w:r w:rsidRPr="0064767E">
        <w:rPr>
          <w:rFonts w:cstheme="minorHAnsi"/>
        </w:rPr>
        <w:t>koszty operacyjne związane z bieżącą eksploatacją zakresu rzeczowego przedsięwzięcia nie są wydatkami kwalifikowalnymi;</w:t>
      </w:r>
    </w:p>
    <w:p w14:paraId="602B0224" w14:textId="77777777" w:rsidR="00400DF2" w:rsidRDefault="00750746" w:rsidP="00400DF2">
      <w:pPr>
        <w:pStyle w:val="Akapitzlist"/>
        <w:numPr>
          <w:ilvl w:val="0"/>
          <w:numId w:val="11"/>
        </w:numPr>
        <w:contextualSpacing w:val="0"/>
        <w:jc w:val="both"/>
        <w:rPr>
          <w:rFonts w:cstheme="minorHAnsi"/>
        </w:rPr>
      </w:pPr>
      <w:r w:rsidRPr="00750746">
        <w:rPr>
          <w:rFonts w:cstheme="minorHAnsi"/>
        </w:rPr>
        <w:t xml:space="preserve">wydatków lub kosztów poniesionych </w:t>
      </w:r>
      <w:bookmarkStart w:id="3" w:name="_Hlk166739299"/>
      <w:r w:rsidRPr="00750746">
        <w:rPr>
          <w:rFonts w:cstheme="minorHAnsi"/>
        </w:rPr>
        <w:t>na przygotowanie wniosku o dofinansowanie projektu, o którym mowa w art. 50 ust. 1 ustawy</w:t>
      </w:r>
      <w:bookmarkEnd w:id="3"/>
      <w:r w:rsidR="004943C7" w:rsidRPr="0064767E">
        <w:rPr>
          <w:rFonts w:cstheme="minorHAnsi"/>
        </w:rPr>
        <w:t>;</w:t>
      </w:r>
    </w:p>
    <w:p w14:paraId="19E06F5A" w14:textId="77777777" w:rsidR="003D4E88" w:rsidRDefault="003D4E88" w:rsidP="002F1AED">
      <w:pPr>
        <w:jc w:val="both"/>
        <w:rPr>
          <w:rFonts w:cstheme="minorHAnsi"/>
          <w:b/>
        </w:rPr>
      </w:pPr>
    </w:p>
    <w:p w14:paraId="37FC25A3" w14:textId="2FB77C1E" w:rsidR="00400DF2" w:rsidRDefault="00400DF2" w:rsidP="002F1AED">
      <w:pPr>
        <w:jc w:val="both"/>
        <w:rPr>
          <w:rFonts w:cstheme="minorHAnsi"/>
          <w:b/>
        </w:rPr>
      </w:pPr>
      <w:r w:rsidRPr="002F1AED">
        <w:rPr>
          <w:rFonts w:cstheme="minorHAnsi"/>
          <w:b/>
        </w:rPr>
        <w:t>Pomoc publiczna</w:t>
      </w:r>
      <w:r w:rsidR="00F253AC">
        <w:rPr>
          <w:rFonts w:cstheme="minorHAnsi"/>
          <w:b/>
        </w:rPr>
        <w:t xml:space="preserve"> i efekt zachęty</w:t>
      </w:r>
    </w:p>
    <w:p w14:paraId="29DC2D99" w14:textId="3C17004A" w:rsidR="00400DF2" w:rsidRPr="00F253AC" w:rsidRDefault="00400DF2" w:rsidP="002F1AED">
      <w:pPr>
        <w:jc w:val="both"/>
        <w:rPr>
          <w:rFonts w:cstheme="minorHAnsi"/>
        </w:rPr>
      </w:pPr>
      <w:r w:rsidRPr="00F253AC">
        <w:rPr>
          <w:rFonts w:cstheme="minorHAnsi"/>
        </w:rPr>
        <w:t>Wsparcie udzielane w ramach konkursu stanowi pomoc publiczną dla wnioskodawców</w:t>
      </w:r>
      <w:r w:rsidR="009A7BAD" w:rsidRPr="00F253AC">
        <w:rPr>
          <w:rFonts w:cstheme="minorHAnsi"/>
        </w:rPr>
        <w:t xml:space="preserve"> i </w:t>
      </w:r>
      <w:r w:rsidR="009A7BAD" w:rsidRPr="00D20769">
        <w:rPr>
          <w:rFonts w:cstheme="minorHAnsi"/>
        </w:rPr>
        <w:t xml:space="preserve">udzielane jest na warunkach i zgodnie z </w:t>
      </w:r>
      <w:r w:rsidRPr="00D20769">
        <w:rPr>
          <w:rFonts w:cstheme="minorHAnsi"/>
        </w:rPr>
        <w:t>ROZPORZĄDZENI</w:t>
      </w:r>
      <w:r w:rsidR="009A7BAD" w:rsidRPr="00D20769">
        <w:rPr>
          <w:rFonts w:cstheme="minorHAnsi"/>
        </w:rPr>
        <w:t>EM</w:t>
      </w:r>
      <w:r w:rsidRPr="00D20769">
        <w:rPr>
          <w:rFonts w:cstheme="minorHAnsi"/>
        </w:rPr>
        <w:t xml:space="preserve"> MINISTRA FUNDUSZY I POLITYKI REGIONALNEJ ) z dnia </w:t>
      </w:r>
      <w:r w:rsidR="00D20769" w:rsidRPr="00D20769">
        <w:rPr>
          <w:rFonts w:cstheme="minorHAnsi"/>
        </w:rPr>
        <w:t>15 września</w:t>
      </w:r>
      <w:r w:rsidRPr="00D20769">
        <w:rPr>
          <w:rFonts w:cstheme="minorHAnsi"/>
        </w:rPr>
        <w:t xml:space="preserve"> 2025 r. w sprawie pomocy publicznej na realizację projektów w zakresie wyposażenia</w:t>
      </w:r>
      <w:bookmarkStart w:id="4" w:name="_GoBack"/>
      <w:bookmarkEnd w:id="4"/>
      <w:r w:rsidRPr="00F253AC">
        <w:rPr>
          <w:rFonts w:cstheme="minorHAnsi"/>
        </w:rPr>
        <w:t xml:space="preserve"> pojazdów kolejowych z napędem lub z kabiną sterowniczą w system ERTMS w ramach programu Fundusze Europejskie na Infrastrukturę, Klimat, Środowisko 2021–2027 (</w:t>
      </w:r>
      <w:r w:rsidR="00D20769">
        <w:rPr>
          <w:rFonts w:cstheme="minorHAnsi"/>
        </w:rPr>
        <w:t xml:space="preserve">oczekuje na publikacje w </w:t>
      </w:r>
      <w:r w:rsidR="00D20769">
        <w:rPr>
          <w:rFonts w:cstheme="minorHAnsi"/>
        </w:rPr>
        <w:br/>
      </w:r>
      <w:r w:rsidRPr="00F253AC">
        <w:rPr>
          <w:rFonts w:cstheme="minorHAnsi"/>
        </w:rPr>
        <w:t>Dz. U.)</w:t>
      </w:r>
      <w:r w:rsidR="009A7BAD" w:rsidRPr="00F253AC">
        <w:rPr>
          <w:rFonts w:cstheme="minorHAnsi"/>
        </w:rPr>
        <w:t>.</w:t>
      </w:r>
    </w:p>
    <w:p w14:paraId="71165A77" w14:textId="2C68D11D" w:rsidR="008C0650" w:rsidRPr="00F253AC" w:rsidRDefault="008C0650" w:rsidP="008C0650">
      <w:pPr>
        <w:spacing w:after="120"/>
        <w:jc w:val="both"/>
        <w:rPr>
          <w:rFonts w:cstheme="minorHAnsi"/>
        </w:rPr>
      </w:pPr>
      <w:r w:rsidRPr="00F253AC">
        <w:rPr>
          <w:rFonts w:cstheme="minorHAnsi"/>
        </w:rPr>
        <w:t xml:space="preserve">W związku z występowaniem pomocy publicznej </w:t>
      </w:r>
      <w:r w:rsidR="00F253AC" w:rsidRPr="00F253AC">
        <w:rPr>
          <w:rFonts w:cstheme="minorHAnsi"/>
        </w:rPr>
        <w:t xml:space="preserve">oraz wynikającym z nie wymogiem spełnienia tzw. „efektu zachęty” </w:t>
      </w:r>
      <w:r w:rsidRPr="00F253AC">
        <w:rPr>
          <w:rFonts w:cstheme="minorHAnsi"/>
        </w:rPr>
        <w:t xml:space="preserve"> rozpoczęci</w:t>
      </w:r>
      <w:r w:rsidR="00F253AC" w:rsidRPr="00F253AC">
        <w:rPr>
          <w:rFonts w:cstheme="minorHAnsi"/>
        </w:rPr>
        <w:t>e</w:t>
      </w:r>
      <w:r w:rsidRPr="00F253AC">
        <w:rPr>
          <w:rFonts w:cstheme="minorHAnsi"/>
        </w:rPr>
        <w:t xml:space="preserve"> </w:t>
      </w:r>
      <w:r w:rsidR="00A726D5" w:rsidRPr="00F253AC">
        <w:rPr>
          <w:rFonts w:cstheme="minorHAnsi"/>
        </w:rPr>
        <w:t xml:space="preserve">prac nad projektem </w:t>
      </w:r>
      <w:r w:rsidRPr="00F253AC">
        <w:rPr>
          <w:rFonts w:cstheme="minorHAnsi"/>
        </w:rPr>
        <w:t>możliw</w:t>
      </w:r>
      <w:r w:rsidR="00F253AC" w:rsidRPr="00F253AC">
        <w:rPr>
          <w:rFonts w:cstheme="minorHAnsi"/>
        </w:rPr>
        <w:t>e</w:t>
      </w:r>
      <w:r w:rsidRPr="00F253AC">
        <w:rPr>
          <w:rFonts w:cstheme="minorHAnsi"/>
        </w:rPr>
        <w:t xml:space="preserve"> jest od dnia następującego po dniu złożenia </w:t>
      </w:r>
      <w:proofErr w:type="spellStart"/>
      <w:r w:rsidRPr="00F253AC">
        <w:rPr>
          <w:rFonts w:cstheme="minorHAnsi"/>
        </w:rPr>
        <w:t>WoD</w:t>
      </w:r>
      <w:proofErr w:type="spellEnd"/>
      <w:r w:rsidRPr="00F253AC">
        <w:rPr>
          <w:rFonts w:cstheme="minorHAnsi"/>
        </w:rPr>
        <w:t xml:space="preserve"> w systemie CST</w:t>
      </w:r>
      <w:r w:rsidR="00AD65DC">
        <w:rPr>
          <w:rFonts w:cstheme="minorHAnsi"/>
        </w:rPr>
        <w:t>,</w:t>
      </w:r>
      <w:r w:rsidRPr="00F253AC">
        <w:rPr>
          <w:rFonts w:cstheme="minorHAnsi"/>
        </w:rPr>
        <w:t xml:space="preserve"> zgodnie z Decyzją KE. </w:t>
      </w:r>
    </w:p>
    <w:p w14:paraId="602F47ED" w14:textId="77777777" w:rsidR="00F253AC" w:rsidRPr="00F81D5E" w:rsidRDefault="00F253AC" w:rsidP="008C0650">
      <w:pPr>
        <w:spacing w:after="120"/>
        <w:jc w:val="both"/>
        <w:rPr>
          <w:rFonts w:cstheme="minorHAnsi"/>
          <w:color w:val="000000"/>
        </w:rPr>
      </w:pPr>
      <w:r w:rsidRPr="00F81D5E">
        <w:rPr>
          <w:rFonts w:cstheme="minorHAnsi"/>
          <w:color w:val="000000"/>
        </w:rPr>
        <w:t>Rozpoczęcie prac” oznacza pierwsze wiążące zobowiązanie do zamówienia urządzeń lub inne zobowiązanie, które sprawia, że inwestycja staje się nieodwracalna, zależnie od tego, co nastąpi wcześniej.</w:t>
      </w:r>
    </w:p>
    <w:p w14:paraId="753D4B21" w14:textId="5F11E6E5" w:rsidR="00F253AC" w:rsidRPr="00F253AC" w:rsidRDefault="00F253AC" w:rsidP="00F253AC">
      <w:pPr>
        <w:spacing w:after="120"/>
        <w:jc w:val="both"/>
        <w:rPr>
          <w:rFonts w:cstheme="minorHAnsi"/>
        </w:rPr>
      </w:pPr>
      <w:r w:rsidRPr="00F253AC">
        <w:rPr>
          <w:rFonts w:cstheme="minorHAnsi"/>
        </w:rPr>
        <w:t>Za rozpoczęcie prac nie uznaje się natomiast podjęcia prac przygotowawczych takich jak np. przygotowanie dokumentacji aplikacyjnej, wykonanie studiów wykonalności, przeprowadzenie badań, analiz, czy przygotowanie dokumentacji przetargowej. Za rozpoczęcie prac nie zostanie również uznane ogłoszenie postępowania przetargowego, jeżeli z warunków tego postępowania będzie jasno wynikać, że umowa z wykonawcą zostanie podpisana pod warunkiem otrzymania dofinansowania.</w:t>
      </w:r>
    </w:p>
    <w:p w14:paraId="738301D2" w14:textId="12527260" w:rsidR="00F253AC" w:rsidRPr="00F81D5E" w:rsidRDefault="00F253AC" w:rsidP="00F253AC">
      <w:pPr>
        <w:pStyle w:val="Tekstprzypisudolnego"/>
        <w:jc w:val="both"/>
        <w:rPr>
          <w:rFonts w:cstheme="minorHAnsi"/>
          <w:sz w:val="22"/>
          <w:szCs w:val="22"/>
        </w:rPr>
      </w:pPr>
      <w:r w:rsidRPr="00F81D5E">
        <w:rPr>
          <w:rFonts w:cstheme="minorHAnsi"/>
          <w:color w:val="000000"/>
          <w:sz w:val="22"/>
          <w:szCs w:val="22"/>
        </w:rPr>
        <w:t>Pomoc nie stanowi zachęty dla wnioskodawcy w tych wszystkich przypadkach, w których prace nad projektem zostały rozpoczęte przed złożeniem przez wnioskodawcę wniosku o dofinansowanie. W takich przypadkach pomoc nie może zostać przyznana.</w:t>
      </w:r>
    </w:p>
    <w:p w14:paraId="5B82FF88" w14:textId="77777777" w:rsidR="00A726D5" w:rsidRDefault="00A726D5" w:rsidP="008C0650">
      <w:pPr>
        <w:spacing w:after="120"/>
        <w:jc w:val="both"/>
        <w:rPr>
          <w:rFonts w:cstheme="minorHAnsi"/>
        </w:rPr>
      </w:pPr>
    </w:p>
    <w:p w14:paraId="62E5BB82" w14:textId="77777777" w:rsidR="009D24E3" w:rsidRPr="0064767E" w:rsidRDefault="009D24E3" w:rsidP="004943C7">
      <w:pPr>
        <w:pStyle w:val="Nagwek1"/>
        <w:numPr>
          <w:ilvl w:val="0"/>
          <w:numId w:val="13"/>
        </w:numPr>
        <w:rPr>
          <w:rFonts w:asciiTheme="minorHAnsi" w:hAnsiTheme="minorHAnsi" w:cstheme="minorHAnsi"/>
          <w:smallCaps/>
          <w:color w:val="auto"/>
        </w:rPr>
      </w:pPr>
      <w:r w:rsidRPr="0064767E">
        <w:rPr>
          <w:rFonts w:asciiTheme="minorHAnsi" w:hAnsiTheme="minorHAnsi" w:cstheme="minorHAnsi"/>
          <w:smallCaps/>
          <w:color w:val="auto"/>
        </w:rPr>
        <w:lastRenderedPageBreak/>
        <w:t>Założenia do Uproszczonego studium wykonalności</w:t>
      </w:r>
    </w:p>
    <w:p w14:paraId="225750CE" w14:textId="77777777" w:rsidR="009D24E3" w:rsidRPr="0064767E" w:rsidRDefault="009D24E3" w:rsidP="004943C7">
      <w:pPr>
        <w:pStyle w:val="Nagwek2"/>
        <w:ind w:left="284"/>
        <w:rPr>
          <w:rFonts w:asciiTheme="minorHAnsi" w:hAnsiTheme="minorHAnsi" w:cstheme="minorHAnsi"/>
          <w:color w:val="auto"/>
        </w:rPr>
      </w:pPr>
      <w:bookmarkStart w:id="5" w:name="_Toc178579838"/>
      <w:r w:rsidRPr="0064767E">
        <w:rPr>
          <w:rFonts w:asciiTheme="minorHAnsi" w:hAnsiTheme="minorHAnsi" w:cstheme="minorHAnsi"/>
          <w:color w:val="auto"/>
        </w:rPr>
        <w:t>Kryterium „Poprawność analizy finansowej i ekonomicznej” (zerojedynkowe)</w:t>
      </w:r>
      <w:bookmarkEnd w:id="5"/>
    </w:p>
    <w:p w14:paraId="0AC3BBDE" w14:textId="77777777" w:rsidR="009D24E3" w:rsidRPr="0064767E" w:rsidRDefault="009D24E3" w:rsidP="009D24E3">
      <w:pPr>
        <w:ind w:left="284"/>
        <w:jc w:val="both"/>
        <w:rPr>
          <w:rFonts w:cstheme="minorHAnsi"/>
        </w:rPr>
      </w:pPr>
    </w:p>
    <w:p w14:paraId="120ADCA3" w14:textId="77777777" w:rsidR="009D24E3" w:rsidRPr="0064767E" w:rsidRDefault="009D24E3" w:rsidP="009D24E3">
      <w:pPr>
        <w:ind w:left="284"/>
        <w:jc w:val="both"/>
        <w:rPr>
          <w:rFonts w:cstheme="minorHAnsi"/>
        </w:rPr>
      </w:pPr>
      <w:r w:rsidRPr="0064767E">
        <w:rPr>
          <w:rFonts w:cstheme="minorHAnsi"/>
        </w:rPr>
        <w:t xml:space="preserve">Załącznikiem do wniosku o objęcie przedsięwzięcia wsparciem jest dokument opisowy pn. Uproszczone Studium Wykonalności (dalej: USW). </w:t>
      </w:r>
    </w:p>
    <w:p w14:paraId="45BF1A67" w14:textId="77777777" w:rsidR="009D24E3" w:rsidRPr="0064767E" w:rsidRDefault="009D24E3" w:rsidP="009D24E3">
      <w:pPr>
        <w:ind w:left="284"/>
        <w:jc w:val="both"/>
        <w:rPr>
          <w:rFonts w:cstheme="minorHAnsi"/>
        </w:rPr>
      </w:pPr>
      <w:r w:rsidRPr="0064767E">
        <w:rPr>
          <w:rFonts w:cstheme="minorHAnsi"/>
        </w:rPr>
        <w:t>W zakresie USW należy uwzględnić kluczowe elementy wymagane dla spełnienia kryterium, takie jak: [1] analiza zapotrzebowania na przedsięwzięcie/projekt, [2] uzasadnienie wyboru zakresu przedsięwzięcia/projektu do realizacji, [3] analiza wykorzystania/operacyjna, [4] analiza ekonomiczna (jakościowa) oraz [5] udowodnienie trwałości finansowej i instytucjonalnej. Szczegółowe informacje dotyczące poszczególnych elementów znajdują się poniżej. W konkursie nie jest wymagana ilościowa analiza ekonomiczna. Wnioskodawcy są również zwolnieni z wyliczenia wskaźników efektywności finansowej oraz analizy wrażliwości.</w:t>
      </w:r>
    </w:p>
    <w:p w14:paraId="4F64BC4E" w14:textId="77777777" w:rsidR="009D24E3" w:rsidRPr="0064767E" w:rsidRDefault="009D24E3" w:rsidP="009D24E3">
      <w:pPr>
        <w:pStyle w:val="Akapitzlist"/>
        <w:numPr>
          <w:ilvl w:val="0"/>
          <w:numId w:val="2"/>
        </w:numPr>
        <w:jc w:val="both"/>
        <w:rPr>
          <w:rStyle w:val="Nagwek3Znak"/>
          <w:rFonts w:cstheme="minorHAnsi"/>
        </w:rPr>
      </w:pPr>
      <w:bookmarkStart w:id="6" w:name="_Toc178579839"/>
      <w:r w:rsidRPr="0064767E">
        <w:rPr>
          <w:rStyle w:val="Nagwek3Znak"/>
          <w:rFonts w:cstheme="minorHAnsi"/>
        </w:rPr>
        <w:t>Analiza zapotrzebowania na przedsięwzięcie</w:t>
      </w:r>
      <w:bookmarkEnd w:id="6"/>
      <w:r w:rsidRPr="0064767E">
        <w:rPr>
          <w:rStyle w:val="Nagwek3Znak"/>
          <w:rFonts w:cstheme="minorHAnsi"/>
        </w:rPr>
        <w:t>/projekt</w:t>
      </w:r>
    </w:p>
    <w:p w14:paraId="6698E2D6" w14:textId="77777777" w:rsidR="009D24E3" w:rsidRPr="0064767E" w:rsidRDefault="009D24E3" w:rsidP="009D24E3">
      <w:pPr>
        <w:ind w:left="284"/>
        <w:jc w:val="both"/>
        <w:rPr>
          <w:rFonts w:cstheme="minorHAnsi"/>
        </w:rPr>
      </w:pPr>
      <w:r w:rsidRPr="0064767E">
        <w:rPr>
          <w:rFonts w:cstheme="minorHAnsi"/>
        </w:rPr>
        <w:t xml:space="preserve">W pierwszej części USW konieczne jest opisanie istniejącej sytuacji transportowej w regionie gdzie porusza się tabor Wnioskodawcy, ze szczególnym uwzględnieniem linii wyposażonych w ETCS lub planowanych do wyposażenia w ETCS. Punktem wyjścia powinno być krótkie opisanie czym jest </w:t>
      </w:r>
      <w:r w:rsidRPr="0064767E">
        <w:rPr>
          <w:rStyle w:val="hgkelc"/>
          <w:rFonts w:cstheme="minorHAnsi"/>
        </w:rPr>
        <w:t>Europejski System Sterowania Pociągiem (ERTMS/ETCS). Następnie w USW</w:t>
      </w:r>
      <w:r w:rsidRPr="0064767E">
        <w:rPr>
          <w:rFonts w:cstheme="minorHAnsi"/>
        </w:rPr>
        <w:t xml:space="preserve"> powinna być przedstawiona krótka analiza dokumentu </w:t>
      </w:r>
      <w:r w:rsidRPr="0064767E">
        <w:rPr>
          <w:rFonts w:cstheme="minorHAnsi"/>
          <w:i/>
        </w:rPr>
        <w:t>Rozporządzenie Wykonawcze Komisji UE 2023/1695 w sprawie technicznych specyfikacji interoperacyjności w zakresie podsystemów „Sterowanie”</w:t>
      </w:r>
      <w:r w:rsidRPr="0064767E">
        <w:rPr>
          <w:rFonts w:cstheme="minorHAnsi"/>
        </w:rPr>
        <w:t xml:space="preserve"> (TSI Sterowanie) oraz dokumentu </w:t>
      </w:r>
      <w:r w:rsidRPr="0064767E">
        <w:rPr>
          <w:rFonts w:cstheme="minorHAnsi"/>
          <w:i/>
        </w:rPr>
        <w:t>Krajowy Plan Wdrożenia Technicznej Specyfikacji Interoperacyjności „Sterowanie”</w:t>
      </w:r>
      <w:r w:rsidRPr="0064767E">
        <w:rPr>
          <w:rFonts w:cstheme="minorHAnsi"/>
        </w:rPr>
        <w:t xml:space="preserve">. </w:t>
      </w:r>
    </w:p>
    <w:p w14:paraId="1243182B" w14:textId="77777777" w:rsidR="009D24E3" w:rsidRPr="0064767E" w:rsidRDefault="009D24E3" w:rsidP="009D24E3">
      <w:pPr>
        <w:spacing w:after="0"/>
        <w:ind w:left="284"/>
        <w:jc w:val="both"/>
        <w:rPr>
          <w:rFonts w:cstheme="minorHAnsi"/>
        </w:rPr>
      </w:pPr>
      <w:r w:rsidRPr="0064767E">
        <w:rPr>
          <w:rFonts w:cstheme="minorHAnsi"/>
        </w:rPr>
        <w:t xml:space="preserve">Uzasadnienie zapotrzebowania na przedsięwzięcie powinno zawierać co najmniej następujące elementy: </w:t>
      </w:r>
    </w:p>
    <w:p w14:paraId="3302D6BB" w14:textId="77777777" w:rsidR="009D24E3" w:rsidRPr="0064767E" w:rsidRDefault="009D24E3" w:rsidP="009D24E3">
      <w:pPr>
        <w:pStyle w:val="Akapitzlist"/>
        <w:numPr>
          <w:ilvl w:val="0"/>
          <w:numId w:val="5"/>
        </w:numPr>
        <w:jc w:val="both"/>
        <w:rPr>
          <w:rFonts w:cstheme="minorHAnsi"/>
        </w:rPr>
      </w:pPr>
      <w:r w:rsidRPr="0064767E">
        <w:rPr>
          <w:rFonts w:cstheme="minorHAnsi"/>
        </w:rPr>
        <w:t>Krótki opis ww. dokumentów na poziomie unijnym i krajowym oraz w jaki sposób przedmiotowy projekt wpisuje się w założenia przedstawione w ww. dokumentach.</w:t>
      </w:r>
    </w:p>
    <w:p w14:paraId="0EF484C0" w14:textId="77777777" w:rsidR="009D24E3" w:rsidRPr="0064767E" w:rsidRDefault="009D24E3" w:rsidP="009D24E3">
      <w:pPr>
        <w:pStyle w:val="Akapitzlist"/>
        <w:numPr>
          <w:ilvl w:val="0"/>
          <w:numId w:val="5"/>
        </w:numPr>
        <w:jc w:val="both"/>
        <w:rPr>
          <w:rFonts w:cstheme="minorHAnsi"/>
        </w:rPr>
      </w:pPr>
      <w:r w:rsidRPr="0064767E">
        <w:rPr>
          <w:rFonts w:cstheme="minorHAnsi"/>
        </w:rPr>
        <w:t>Informacje dot. posiadanych pojazdów kolejowych: typ pojazdu, liczba, wiek, data i zakres ostatniej naprawy P5, obecne wyposażenie.</w:t>
      </w:r>
    </w:p>
    <w:p w14:paraId="559571CC" w14:textId="77777777" w:rsidR="009D24E3" w:rsidRPr="0064767E" w:rsidRDefault="009D24E3" w:rsidP="009D24E3">
      <w:pPr>
        <w:pStyle w:val="Akapitzlist"/>
        <w:numPr>
          <w:ilvl w:val="0"/>
          <w:numId w:val="5"/>
        </w:numPr>
        <w:jc w:val="both"/>
        <w:rPr>
          <w:rFonts w:cstheme="minorHAnsi"/>
        </w:rPr>
      </w:pPr>
      <w:r w:rsidRPr="0064767E">
        <w:rPr>
          <w:rFonts w:cstheme="minorHAnsi"/>
        </w:rPr>
        <w:t>Informacje dot. linii po których poruszają się lub będą się poruszały pojazdy kolejowe: numer linii, nazwa linii/odcinka linii, wyposażenie linii w ETCS tj. stan obecny, planowane wyposażenie linii w ETCS (jeżeli dotyczy), data od kiedy kursować będą mogły wyłącznie pojazdy wyposażone w ETCS, data od kiedy nie jest już dozwolone użytkowanie systemu automatycznej kontroli pociągu klasy B.</w:t>
      </w:r>
    </w:p>
    <w:p w14:paraId="613B73DA" w14:textId="77777777" w:rsidR="009D24E3" w:rsidRPr="0064767E" w:rsidRDefault="009D24E3" w:rsidP="009D24E3">
      <w:pPr>
        <w:ind w:left="360"/>
        <w:jc w:val="both"/>
        <w:rPr>
          <w:rFonts w:cstheme="minorHAnsi"/>
        </w:rPr>
      </w:pPr>
      <w:r w:rsidRPr="0064767E">
        <w:rPr>
          <w:rFonts w:cstheme="minorHAnsi"/>
        </w:rPr>
        <w:t>Sugerowane jest przedstawienie wymaganych informacji w formie tabelarycznej oraz dodatkowo w formie czytelnej mapy (dot. linii).</w:t>
      </w:r>
    </w:p>
    <w:p w14:paraId="40D85CBE" w14:textId="77777777" w:rsidR="009D24E3" w:rsidRPr="0064767E" w:rsidRDefault="009D24E3" w:rsidP="009D24E3">
      <w:pPr>
        <w:pStyle w:val="Akapitzlist"/>
        <w:ind w:left="644"/>
        <w:jc w:val="both"/>
        <w:rPr>
          <w:rFonts w:cstheme="minorHAnsi"/>
        </w:rPr>
      </w:pPr>
    </w:p>
    <w:p w14:paraId="476ACA1A" w14:textId="77777777" w:rsidR="009D24E3" w:rsidRPr="0064767E" w:rsidRDefault="009D24E3" w:rsidP="009D24E3">
      <w:pPr>
        <w:pStyle w:val="Akapitzlist"/>
        <w:numPr>
          <w:ilvl w:val="0"/>
          <w:numId w:val="2"/>
        </w:numPr>
        <w:jc w:val="both"/>
        <w:rPr>
          <w:rStyle w:val="Nagwek3Znak"/>
          <w:rFonts w:cstheme="minorHAnsi"/>
        </w:rPr>
      </w:pPr>
      <w:bookmarkStart w:id="7" w:name="_Toc178579840"/>
      <w:r w:rsidRPr="0064767E">
        <w:rPr>
          <w:rStyle w:val="Nagwek3Znak"/>
          <w:rFonts w:cstheme="minorHAnsi"/>
        </w:rPr>
        <w:t>Uzasadnienie wyboru zakresu przedsięwzięcia/projektu do realizacji</w:t>
      </w:r>
      <w:bookmarkEnd w:id="7"/>
    </w:p>
    <w:p w14:paraId="66D8228E" w14:textId="77777777" w:rsidR="009D24E3" w:rsidRPr="0064767E" w:rsidRDefault="009D24E3" w:rsidP="009D24E3">
      <w:pPr>
        <w:ind w:left="284"/>
        <w:jc w:val="both"/>
        <w:rPr>
          <w:rFonts w:cstheme="minorHAnsi"/>
        </w:rPr>
      </w:pPr>
      <w:r w:rsidRPr="0064767E">
        <w:rPr>
          <w:rFonts w:cstheme="minorHAnsi"/>
        </w:rPr>
        <w:t>Kolejnym etapem jest uzasadnienie zakresu przedsięwzięcia do realizacji, w tym zarówno wyboru liczby i typu pojazdów kolejowych, jak i odpowiednich rozwiązań technicznych.</w:t>
      </w:r>
    </w:p>
    <w:p w14:paraId="0CB29CFF" w14:textId="77777777" w:rsidR="009D24E3" w:rsidRPr="0064767E" w:rsidRDefault="009D24E3" w:rsidP="009D24E3">
      <w:pPr>
        <w:ind w:left="284"/>
        <w:jc w:val="both"/>
        <w:rPr>
          <w:rFonts w:cstheme="minorHAnsi"/>
          <w:b/>
        </w:rPr>
      </w:pPr>
      <w:r w:rsidRPr="0064767E">
        <w:rPr>
          <w:rFonts w:cstheme="minorHAnsi"/>
          <w:b/>
        </w:rPr>
        <w:t>Analiza strategiczna</w:t>
      </w:r>
    </w:p>
    <w:p w14:paraId="3B3D9C55" w14:textId="77777777" w:rsidR="009D24E3" w:rsidRPr="0064767E" w:rsidRDefault="009D24E3" w:rsidP="009D24E3">
      <w:pPr>
        <w:ind w:left="284"/>
        <w:jc w:val="both"/>
        <w:rPr>
          <w:rFonts w:cstheme="minorHAnsi"/>
        </w:rPr>
      </w:pPr>
      <w:r w:rsidRPr="0064767E">
        <w:rPr>
          <w:rFonts w:cstheme="minorHAnsi"/>
        </w:rPr>
        <w:t xml:space="preserve">W pierwszym etapie, pod nazwą </w:t>
      </w:r>
      <w:r w:rsidRPr="0064767E">
        <w:rPr>
          <w:rFonts w:cstheme="minorHAnsi"/>
          <w:u w:val="single"/>
        </w:rPr>
        <w:t>analizy strategicznej</w:t>
      </w:r>
      <w:r w:rsidRPr="0064767E">
        <w:rPr>
          <w:rFonts w:cstheme="minorHAnsi"/>
        </w:rPr>
        <w:t xml:space="preserve"> należy omówić przesłanki, które doprowadziły do podjęcia decyzji o wyposażeniu pojazdów kolejowych w urządzenia pokładowe Europejskiego </w:t>
      </w:r>
      <w:r w:rsidRPr="0064767E">
        <w:rPr>
          <w:rFonts w:cstheme="minorHAnsi"/>
        </w:rPr>
        <w:lastRenderedPageBreak/>
        <w:t xml:space="preserve">Systemu Sterowania Pociągiem (ETCS) oraz Globalnego Systemu Kolejowej Radiokomunikacji Ruchomej (GSM-R), o ile ten drugi nie jest już zainstalowany. Katalog przesłanek nie jest zamknięty, przy czym jako niezbędne minimum, na tym etapie analizy opcji, należy potraktować poniżej wskazane. Należy wskazać zarówno przesłanki niezależne, jak i zależne od Wnioskodawcy. </w:t>
      </w:r>
    </w:p>
    <w:p w14:paraId="45A33D79" w14:textId="77777777" w:rsidR="009D24E3" w:rsidRPr="0064767E" w:rsidRDefault="009D24E3" w:rsidP="009D24E3">
      <w:pPr>
        <w:ind w:left="284"/>
        <w:jc w:val="both"/>
        <w:rPr>
          <w:rFonts w:cstheme="minorHAnsi"/>
        </w:rPr>
      </w:pPr>
      <w:r w:rsidRPr="0064767E">
        <w:rPr>
          <w:rFonts w:cstheme="minorHAnsi"/>
        </w:rPr>
        <w:t xml:space="preserve">Za niezależne przesłanki rozumie się wszelkie akty prawne, które obligują Wnioskodawcę do podjęcia określonych działań w wyznaczonym horyzoncie czasu. Nie jest konieczne powtarzanie informacji dot. dokumentów podanych już w punkcie A. Analiza zapotrzebowania na przedsięwzięcie/projekt, wystarczające jest wymienienie tych dokumentów. Możliwe jest również omówienie dodatkowo innych dokumentów, niż te wskazane w punkcie A. Z kolei jako zależne od Wnioskodawcy należy potraktować wszelkie decyzje podjęte na poziomie strategicznym i operacyjnym jego przedsiębiorstwa, czyli na przykład, w jaki sposób brak wyposażenia pojazdów kolejowych w urządzenia kolejowe w określonym terminie wpłynąłby na jego działalność teraz i w przyszłości. </w:t>
      </w:r>
    </w:p>
    <w:p w14:paraId="227A2792" w14:textId="77777777" w:rsidR="009D24E3" w:rsidRPr="0064767E" w:rsidRDefault="009D24E3" w:rsidP="009D24E3">
      <w:pPr>
        <w:ind w:left="284"/>
        <w:jc w:val="both"/>
        <w:rPr>
          <w:rFonts w:cstheme="minorHAnsi"/>
        </w:rPr>
      </w:pPr>
      <w:r w:rsidRPr="0064767E">
        <w:rPr>
          <w:rFonts w:cstheme="minorHAnsi"/>
        </w:rPr>
        <w:t xml:space="preserve">W pierwszym etapie należy też uzasadnić decyzję o liczbie i typie pojazdów kolejowych wybranych do objęcia przedmiotowym projektem. Konieczne jest odniesienie się do informacji podanych w punkcie A. dot. linii, po których poruszają się lub będą się poruszać pojazdy kolejowe oraz informacja dot. pracy przewozowej planowanej do realizacji na liniach kolejowych wyposażonych lub planowanych do wyposażenia w ETCS. Analiza strategiczna, co do zasady, powinna mieć charakter jakościowy. Może być zaprezentowana w czytelnej formie opisowej lub tabelarycznej. Jeśli jednak decyzje inwestycyjne zostały poprzedzone analizami ilościowymi, to wyniki takich analiz należy zaprezentować właśnie na tym etapie analizy opcji. </w:t>
      </w:r>
    </w:p>
    <w:p w14:paraId="434CD2FF" w14:textId="77777777" w:rsidR="009D24E3" w:rsidRPr="0064767E" w:rsidRDefault="009D24E3" w:rsidP="009D24E3">
      <w:pPr>
        <w:ind w:left="284"/>
        <w:jc w:val="both"/>
        <w:rPr>
          <w:rFonts w:cstheme="minorHAnsi"/>
        </w:rPr>
      </w:pPr>
      <w:r w:rsidRPr="0064767E">
        <w:rPr>
          <w:rFonts w:cstheme="minorHAnsi"/>
        </w:rPr>
        <w:t>Podsumowaniem tej części analizy powinno być jednoznaczne wskazanie wybranego zakresu przedsięwzięcia.</w:t>
      </w:r>
    </w:p>
    <w:p w14:paraId="75475AFF" w14:textId="77777777" w:rsidR="009D24E3" w:rsidRPr="0064767E" w:rsidRDefault="009D24E3" w:rsidP="009D24E3">
      <w:pPr>
        <w:ind w:left="284"/>
        <w:jc w:val="both"/>
        <w:rPr>
          <w:rFonts w:cstheme="minorHAnsi"/>
          <w:b/>
        </w:rPr>
      </w:pPr>
      <w:r w:rsidRPr="0064767E">
        <w:rPr>
          <w:rFonts w:cstheme="minorHAnsi"/>
          <w:b/>
        </w:rPr>
        <w:t>Analiza technologiczna</w:t>
      </w:r>
    </w:p>
    <w:p w14:paraId="4D7AEB16" w14:textId="77777777" w:rsidR="009D24E3" w:rsidRPr="0064767E" w:rsidRDefault="009D24E3" w:rsidP="009D24E3">
      <w:pPr>
        <w:spacing w:after="0"/>
        <w:ind w:left="284"/>
        <w:jc w:val="both"/>
        <w:rPr>
          <w:rFonts w:cstheme="minorHAnsi"/>
        </w:rPr>
      </w:pPr>
      <w:r w:rsidRPr="0064767E">
        <w:rPr>
          <w:rFonts w:cstheme="minorHAnsi"/>
        </w:rPr>
        <w:t xml:space="preserve">Drugi etap analizy opcji, pod nazwą </w:t>
      </w:r>
      <w:r w:rsidRPr="0064767E">
        <w:rPr>
          <w:rFonts w:cstheme="minorHAnsi"/>
          <w:u w:val="single"/>
        </w:rPr>
        <w:t>analizy technologicznej</w:t>
      </w:r>
      <w:r w:rsidRPr="0064767E">
        <w:rPr>
          <w:rFonts w:cstheme="minorHAnsi"/>
        </w:rPr>
        <w:t xml:space="preserve">, należy poświęcić szczegółowemu porównaniu zidentyfikowanych i możliwych do realizacji wariantów technologiczno-operacyjnych wdrożenia projektu. Etap ten kończy się wskazaniem najlepszego rozwiązania. Proszę o omówienie nie tylko możliwości samej modernizacji pojazdów kolejowych, ale również sprzętu i aparatury wykorzystywanych w zakresie obsługi, diagnostyki i utrzymania systemu ERTMS. Sugerowana jest metoda ilościowa porównująca koszty wdrożenia poszczególnych wariantów. Zalecane jest również zidentyfikowanie innych kryteriów istotnych dla wyboru najlepszego rozwiązania, m.in. koszty eksploatacyjne (wpływ na przyspieszanie, hamowanie), przepustowość linii (wpływ na takt kursowania pociągów), bezpieczeństwo (unikanie zdarzeń </w:t>
      </w:r>
      <w:proofErr w:type="spellStart"/>
      <w:r w:rsidRPr="0064767E">
        <w:rPr>
          <w:rStyle w:val="hgkelc"/>
          <w:rFonts w:cstheme="minorHAnsi"/>
        </w:rPr>
        <w:t>Signal</w:t>
      </w:r>
      <w:proofErr w:type="spellEnd"/>
      <w:r w:rsidRPr="0064767E">
        <w:rPr>
          <w:rStyle w:val="hgkelc"/>
          <w:rFonts w:cstheme="minorHAnsi"/>
        </w:rPr>
        <w:t xml:space="preserve"> </w:t>
      </w:r>
      <w:proofErr w:type="spellStart"/>
      <w:r w:rsidRPr="0064767E">
        <w:rPr>
          <w:rStyle w:val="hgkelc"/>
          <w:rFonts w:cstheme="minorHAnsi"/>
        </w:rPr>
        <w:t>Passed</w:t>
      </w:r>
      <w:proofErr w:type="spellEnd"/>
      <w:r w:rsidRPr="0064767E">
        <w:rPr>
          <w:rStyle w:val="hgkelc"/>
          <w:rFonts w:cstheme="minorHAnsi"/>
        </w:rPr>
        <w:t xml:space="preserve"> </w:t>
      </w:r>
      <w:proofErr w:type="spellStart"/>
      <w:r w:rsidRPr="0064767E">
        <w:rPr>
          <w:rStyle w:val="hgkelc"/>
          <w:rFonts w:cstheme="minorHAnsi"/>
        </w:rPr>
        <w:t>at</w:t>
      </w:r>
      <w:proofErr w:type="spellEnd"/>
      <w:r w:rsidRPr="0064767E">
        <w:rPr>
          <w:rStyle w:val="hgkelc"/>
          <w:rFonts w:cstheme="minorHAnsi"/>
        </w:rPr>
        <w:t xml:space="preserve"> </w:t>
      </w:r>
      <w:proofErr w:type="spellStart"/>
      <w:r w:rsidRPr="0064767E">
        <w:rPr>
          <w:rStyle w:val="hgkelc"/>
          <w:rFonts w:cstheme="minorHAnsi"/>
        </w:rPr>
        <w:t>Danger</w:t>
      </w:r>
      <w:proofErr w:type="spellEnd"/>
      <w:r w:rsidRPr="0064767E">
        <w:rPr>
          <w:rStyle w:val="hgkelc"/>
          <w:rFonts w:cstheme="minorHAnsi"/>
        </w:rPr>
        <w:t>)</w:t>
      </w:r>
      <w:r w:rsidRPr="0064767E">
        <w:rPr>
          <w:rFonts w:cstheme="minorHAnsi"/>
        </w:rPr>
        <w:t>.</w:t>
      </w:r>
    </w:p>
    <w:p w14:paraId="7F998DF8" w14:textId="77777777" w:rsidR="009D24E3" w:rsidRPr="0064767E" w:rsidRDefault="009D24E3" w:rsidP="009D24E3">
      <w:pPr>
        <w:spacing w:after="0"/>
        <w:ind w:left="284"/>
        <w:jc w:val="both"/>
        <w:rPr>
          <w:rFonts w:cstheme="minorHAnsi"/>
        </w:rPr>
      </w:pPr>
    </w:p>
    <w:p w14:paraId="40E86146" w14:textId="77777777" w:rsidR="009D24E3" w:rsidRPr="0064767E" w:rsidRDefault="009D24E3" w:rsidP="009D24E3">
      <w:pPr>
        <w:spacing w:after="0"/>
        <w:ind w:left="284"/>
        <w:jc w:val="both"/>
        <w:rPr>
          <w:rFonts w:cstheme="minorHAnsi"/>
        </w:rPr>
      </w:pPr>
      <w:r w:rsidRPr="0064767E">
        <w:rPr>
          <w:rFonts w:cstheme="minorHAnsi"/>
        </w:rPr>
        <w:t>Podsumowaniem tej części analizy powinno być jednoznaczne wskazanie wybranego zakresu przedsięwzięcia.</w:t>
      </w:r>
    </w:p>
    <w:p w14:paraId="2DE88FC6" w14:textId="77777777" w:rsidR="009D24E3" w:rsidRPr="0064767E" w:rsidRDefault="009D24E3" w:rsidP="009D24E3">
      <w:pPr>
        <w:spacing w:after="0"/>
        <w:ind w:left="284"/>
        <w:jc w:val="both"/>
        <w:rPr>
          <w:rFonts w:cstheme="minorHAnsi"/>
        </w:rPr>
      </w:pPr>
    </w:p>
    <w:p w14:paraId="4DE0747F" w14:textId="77777777" w:rsidR="009D24E3" w:rsidRPr="0064767E" w:rsidRDefault="009D24E3" w:rsidP="009D24E3">
      <w:pPr>
        <w:pStyle w:val="Akapitzlist"/>
        <w:numPr>
          <w:ilvl w:val="0"/>
          <w:numId w:val="2"/>
        </w:numPr>
        <w:jc w:val="both"/>
        <w:rPr>
          <w:rStyle w:val="Nagwek3Znak"/>
          <w:rFonts w:cstheme="minorHAnsi"/>
        </w:rPr>
      </w:pPr>
      <w:bookmarkStart w:id="8" w:name="_Toc178579841"/>
      <w:r w:rsidRPr="0064767E">
        <w:rPr>
          <w:rStyle w:val="Nagwek3Znak"/>
          <w:rFonts w:cstheme="minorHAnsi"/>
        </w:rPr>
        <w:t>Analiza wykorzystania/operacyjna</w:t>
      </w:r>
      <w:bookmarkEnd w:id="8"/>
    </w:p>
    <w:p w14:paraId="36E2169C" w14:textId="77777777" w:rsidR="009D24E3" w:rsidRPr="0064767E" w:rsidRDefault="009D24E3" w:rsidP="009D24E3">
      <w:pPr>
        <w:ind w:left="284"/>
        <w:jc w:val="both"/>
        <w:rPr>
          <w:rFonts w:cstheme="minorHAnsi"/>
        </w:rPr>
      </w:pPr>
      <w:r w:rsidRPr="0064767E">
        <w:rPr>
          <w:rFonts w:cstheme="minorHAnsi"/>
        </w:rPr>
        <w:t>W części USW poświęconej analizie wykorzystania/operacyjnej należy przedstawić założenia przyjęte dla przedsięwzięcia, zwłaszcza odpowiednie zaplanowanie swojej działalności biznesowej w kontekście stopniowego wyposażenia pojazdów trakcyjnych w urządzenia pokładowe systemu, w tym ewentualne wyłączenia pojazdów kolejowych z ruchu na czas modernizacji, szkolenia pracowników i in.</w:t>
      </w:r>
    </w:p>
    <w:p w14:paraId="1A8A3CC9" w14:textId="77777777" w:rsidR="009D24E3" w:rsidRPr="0064767E" w:rsidRDefault="009D24E3" w:rsidP="009D24E3">
      <w:pPr>
        <w:ind w:left="284"/>
        <w:jc w:val="both"/>
        <w:rPr>
          <w:rFonts w:cstheme="minorHAnsi"/>
        </w:rPr>
      </w:pPr>
      <w:r w:rsidRPr="0064767E">
        <w:rPr>
          <w:rFonts w:cstheme="minorHAnsi"/>
        </w:rPr>
        <w:lastRenderedPageBreak/>
        <w:t xml:space="preserve">Na potrzeby analizy operacyjnej należy przeanalizować w formie tabelarycznej potencjalne czynniki ryzyka oraz wskazać narzędzia zapobiegania lub </w:t>
      </w:r>
      <w:proofErr w:type="spellStart"/>
      <w:r w:rsidRPr="0064767E">
        <w:rPr>
          <w:rFonts w:cstheme="minorHAnsi"/>
        </w:rPr>
        <w:t>mitygacji</w:t>
      </w:r>
      <w:proofErr w:type="spellEnd"/>
      <w:r w:rsidRPr="0064767E">
        <w:rPr>
          <w:rFonts w:cstheme="minorHAnsi"/>
        </w:rPr>
        <w:t>.</w:t>
      </w:r>
    </w:p>
    <w:p w14:paraId="444AA3E4" w14:textId="77777777" w:rsidR="009D24E3" w:rsidRPr="0064767E" w:rsidRDefault="009D24E3" w:rsidP="009D24E3">
      <w:pPr>
        <w:numPr>
          <w:ilvl w:val="0"/>
          <w:numId w:val="1"/>
        </w:numPr>
        <w:jc w:val="both"/>
        <w:rPr>
          <w:rFonts w:cstheme="minorHAnsi"/>
        </w:rPr>
      </w:pPr>
      <w:r w:rsidRPr="0064767E">
        <w:rPr>
          <w:rFonts w:cstheme="minorHAnsi"/>
        </w:rPr>
        <w:t>Ryzyko niezawodności technicznej, np. ryzyko awarii urządzeń lub awarii systemu obsługi tych urządzeń</w:t>
      </w:r>
    </w:p>
    <w:p w14:paraId="7E7E367E" w14:textId="77777777" w:rsidR="009D24E3" w:rsidRPr="0064767E" w:rsidRDefault="009D24E3" w:rsidP="009D24E3">
      <w:pPr>
        <w:numPr>
          <w:ilvl w:val="0"/>
          <w:numId w:val="1"/>
        </w:numPr>
        <w:jc w:val="both"/>
        <w:rPr>
          <w:rFonts w:cstheme="minorHAnsi"/>
        </w:rPr>
      </w:pPr>
      <w:r w:rsidRPr="0064767E">
        <w:rPr>
          <w:rFonts w:cstheme="minorHAnsi"/>
        </w:rPr>
        <w:t>Ryzyko jazdy bez nadzoru urządzeń pokładowych systemu ETCS przy jednoczesnym braku posiadania właściwego przeszkolenia przez maszynistę</w:t>
      </w:r>
    </w:p>
    <w:p w14:paraId="4AFD89B7" w14:textId="77777777" w:rsidR="009D24E3" w:rsidRPr="0064767E" w:rsidRDefault="009D24E3" w:rsidP="009D24E3">
      <w:pPr>
        <w:numPr>
          <w:ilvl w:val="0"/>
          <w:numId w:val="1"/>
        </w:numPr>
        <w:jc w:val="both"/>
        <w:rPr>
          <w:rFonts w:cstheme="minorHAnsi"/>
        </w:rPr>
      </w:pPr>
      <w:r w:rsidRPr="0064767E">
        <w:rPr>
          <w:rFonts w:cstheme="minorHAnsi"/>
        </w:rPr>
        <w:t>Ryzyko zmian w TSI Sterowanie, które wpłyną m.in. na planowane rozmieszczenie ETCS czy terminy likwidacji systemu automatycznej kontroli pociągu klasy B</w:t>
      </w:r>
    </w:p>
    <w:p w14:paraId="7B991AC0" w14:textId="77777777" w:rsidR="009D24E3" w:rsidRPr="0064767E" w:rsidRDefault="009D24E3" w:rsidP="009D24E3">
      <w:pPr>
        <w:numPr>
          <w:ilvl w:val="0"/>
          <w:numId w:val="1"/>
        </w:numPr>
        <w:jc w:val="both"/>
        <w:rPr>
          <w:rFonts w:cstheme="minorHAnsi"/>
        </w:rPr>
      </w:pPr>
      <w:r w:rsidRPr="0064767E">
        <w:rPr>
          <w:rFonts w:cstheme="minorHAnsi"/>
        </w:rPr>
        <w:t xml:space="preserve">Ryzyka finansowe, takie jak: niedoszacowanie kosztów przedsięwzięcia, brak środków na finansowanie kosztów przedsięwzięcia, brak środków na finansowanie utrzymania przedsięwzięcia (jeżeli dotyczy), </w:t>
      </w:r>
      <w:r w:rsidRPr="0064767E">
        <w:rPr>
          <w:rFonts w:cstheme="minorHAnsi"/>
          <w:lang w:eastAsia="nb-NO"/>
        </w:rPr>
        <w:t>ryzyko opóźnienia modernizacji pojazdów kolejowych w kontekście konieczności rozliczenia wydatków kwalifikowanych do końca sierpnia 2026 r.</w:t>
      </w:r>
    </w:p>
    <w:p w14:paraId="3BA43FD2" w14:textId="77777777" w:rsidR="009D24E3" w:rsidRPr="0064767E" w:rsidRDefault="009D24E3" w:rsidP="009D24E3">
      <w:pPr>
        <w:numPr>
          <w:ilvl w:val="0"/>
          <w:numId w:val="1"/>
        </w:numPr>
        <w:jc w:val="both"/>
        <w:rPr>
          <w:rFonts w:cstheme="minorHAnsi"/>
        </w:rPr>
      </w:pPr>
      <w:r w:rsidRPr="0064767E">
        <w:rPr>
          <w:rFonts w:cstheme="minorHAnsi"/>
          <w:lang w:eastAsia="nb-NO"/>
        </w:rPr>
        <w:t>Ryzyko spadku zapotrzebowania, w tym przyszłych zmian tras powodujących, że tabor nie będzie jeździł na liniach wyposażonych w ETCS</w:t>
      </w:r>
    </w:p>
    <w:p w14:paraId="27312FBC" w14:textId="77777777" w:rsidR="009D24E3" w:rsidRPr="0064767E" w:rsidRDefault="009D24E3" w:rsidP="009D24E3">
      <w:pPr>
        <w:numPr>
          <w:ilvl w:val="0"/>
          <w:numId w:val="1"/>
        </w:numPr>
        <w:jc w:val="both"/>
        <w:rPr>
          <w:rFonts w:cstheme="minorHAnsi"/>
        </w:rPr>
      </w:pPr>
      <w:r w:rsidRPr="0064767E">
        <w:rPr>
          <w:rFonts w:cstheme="minorHAnsi"/>
        </w:rPr>
        <w:t xml:space="preserve">Inne ryzyka, które na etapie procesu planowania zidentyfikuje Wnioskodawca. </w:t>
      </w:r>
    </w:p>
    <w:p w14:paraId="25010DF9" w14:textId="77777777" w:rsidR="009D24E3" w:rsidRPr="0064767E" w:rsidRDefault="009D24E3" w:rsidP="009D24E3">
      <w:pPr>
        <w:pStyle w:val="Akapitzlist"/>
        <w:numPr>
          <w:ilvl w:val="0"/>
          <w:numId w:val="2"/>
        </w:numPr>
        <w:ind w:left="714" w:hanging="357"/>
        <w:contextualSpacing w:val="0"/>
        <w:jc w:val="both"/>
        <w:rPr>
          <w:rStyle w:val="Nagwek3Znak"/>
          <w:rFonts w:cstheme="minorHAnsi"/>
        </w:rPr>
      </w:pPr>
      <w:bookmarkStart w:id="9" w:name="_Toc178579842"/>
      <w:r w:rsidRPr="0064767E">
        <w:rPr>
          <w:rStyle w:val="Nagwek3Znak"/>
          <w:rFonts w:cstheme="minorHAnsi"/>
        </w:rPr>
        <w:t>Analiza ekonomiczna (jakościowa)</w:t>
      </w:r>
      <w:bookmarkEnd w:id="9"/>
    </w:p>
    <w:p w14:paraId="3481D8A8" w14:textId="77777777" w:rsidR="009D24E3" w:rsidRPr="0064767E" w:rsidRDefault="009D24E3" w:rsidP="009D24E3">
      <w:pPr>
        <w:pStyle w:val="Akapitzlist"/>
        <w:ind w:left="284"/>
        <w:jc w:val="both"/>
        <w:rPr>
          <w:rFonts w:cstheme="minorHAnsi"/>
        </w:rPr>
      </w:pPr>
      <w:r w:rsidRPr="0064767E">
        <w:rPr>
          <w:rFonts w:cstheme="minorHAnsi"/>
        </w:rPr>
        <w:t>W ramach jakościowej analizy ekonomicznej należy opisać korzyści z realizacji przedsięwzięcia. Dotyczy to zarówno korzyści dla Wnioskodawcy, jak i dla pozostałych grup odbiorców np. pasażerów. Analiza jakościowa może mieć formę tabelaryczną lub opisową.</w:t>
      </w:r>
    </w:p>
    <w:p w14:paraId="74617EA5" w14:textId="77777777" w:rsidR="009D24E3" w:rsidRPr="0064767E" w:rsidRDefault="009D24E3" w:rsidP="009D24E3">
      <w:pPr>
        <w:pStyle w:val="Akapitzlist"/>
        <w:ind w:left="284"/>
        <w:jc w:val="both"/>
        <w:rPr>
          <w:rFonts w:cstheme="minorHAnsi"/>
        </w:rPr>
      </w:pPr>
    </w:p>
    <w:p w14:paraId="5B446312" w14:textId="77777777" w:rsidR="009D24E3" w:rsidRPr="0064767E" w:rsidRDefault="009D24E3" w:rsidP="009D24E3">
      <w:pPr>
        <w:pStyle w:val="Akapitzlist"/>
        <w:numPr>
          <w:ilvl w:val="0"/>
          <w:numId w:val="2"/>
        </w:numPr>
        <w:jc w:val="both"/>
        <w:rPr>
          <w:rStyle w:val="Nagwek3Znak"/>
          <w:rFonts w:cstheme="minorHAnsi"/>
        </w:rPr>
      </w:pPr>
      <w:bookmarkStart w:id="10" w:name="_Toc178579843"/>
      <w:r w:rsidRPr="0064767E">
        <w:rPr>
          <w:rStyle w:val="Nagwek3Znak"/>
          <w:rFonts w:cstheme="minorHAnsi"/>
        </w:rPr>
        <w:t>Udowodnienie trwałości finansowej i instytucjonalnej</w:t>
      </w:r>
      <w:bookmarkEnd w:id="10"/>
    </w:p>
    <w:p w14:paraId="69998F5D" w14:textId="77777777" w:rsidR="009D24E3" w:rsidRPr="0064767E" w:rsidRDefault="009D24E3" w:rsidP="009D24E3">
      <w:pPr>
        <w:pStyle w:val="Akapitzlist"/>
        <w:rPr>
          <w:rStyle w:val="Nagwek3Znak"/>
          <w:rFonts w:cstheme="minorHAnsi"/>
        </w:rPr>
      </w:pPr>
    </w:p>
    <w:p w14:paraId="431DDD38" w14:textId="77777777" w:rsidR="009D24E3" w:rsidRPr="0064767E" w:rsidRDefault="009D24E3" w:rsidP="009D24E3">
      <w:pPr>
        <w:pStyle w:val="Akapitzlist"/>
        <w:ind w:left="284"/>
        <w:jc w:val="both"/>
        <w:rPr>
          <w:rFonts w:cstheme="minorHAnsi"/>
          <w:bCs/>
        </w:rPr>
      </w:pPr>
      <w:r w:rsidRPr="0064767E">
        <w:rPr>
          <w:rFonts w:cstheme="minorHAnsi"/>
          <w:bCs/>
        </w:rPr>
        <w:t>W tym punkcie USW należy krótko opisać, jaka jest sytuacja prawna i finansowa Wnioskodawcy.  Kolejno należy wskazać, czy tabor objęty projektem jest własnością Wnioskodawcy. Jeżeli Wnioskodawcą i właścicielem taboru jest organizator transportu, to na jakich zasadach i komu organizator użycza tabor. Czy operatorem/przewoźnikiem jest spółka wyłoniona w przetargu, własny operator lub inny. Jeżeli Wnioskodawcą i właścicielem taboru jest operator/przewoźnik, należy opisać założenia umowy PSC. Jeżeli Wnioskodawcą i właścicielem taboru jest przedsiębiorca świadczący usługi w komercyjnym transporcie pasażerskim lub towarowym, należy opisać jego profil działalności oraz doświadczenie na rynku.  Ponadto: kto odpowiada za szkolenie</w:t>
      </w:r>
      <w:r w:rsidRPr="0064767E">
        <w:rPr>
          <w:rFonts w:cstheme="minorHAnsi"/>
        </w:rPr>
        <w:t xml:space="preserve"> personelu w zakresie obsługi i utrzymania systemu ERTMS</w:t>
      </w:r>
      <w:r w:rsidRPr="0064767E">
        <w:rPr>
          <w:rFonts w:cstheme="minorHAnsi"/>
          <w:bCs/>
        </w:rPr>
        <w:t>, kto odpowiada utrzymanie taboru w tym urządzeń wchodzących w zakres przedmiotowego projektu. Należy krótko opisać w jaki sposób dokonuje się rozliczenia pomiędzy podmiotami (organizator, operator/przewoźnik, przedsiębiorca).</w:t>
      </w:r>
    </w:p>
    <w:p w14:paraId="6BBC7F8A" w14:textId="77777777" w:rsidR="009D24E3" w:rsidRPr="0064767E" w:rsidRDefault="009D24E3" w:rsidP="009D24E3">
      <w:pPr>
        <w:pStyle w:val="Akapitzlist"/>
        <w:ind w:left="284"/>
        <w:jc w:val="both"/>
        <w:rPr>
          <w:rFonts w:cstheme="minorHAnsi"/>
          <w:bCs/>
        </w:rPr>
      </w:pPr>
    </w:p>
    <w:p w14:paraId="3975B4F0" w14:textId="77777777" w:rsidR="009D24E3" w:rsidRPr="0064767E" w:rsidRDefault="009D24E3" w:rsidP="009D24E3">
      <w:pPr>
        <w:pStyle w:val="Akapitzlist"/>
        <w:ind w:left="284"/>
        <w:jc w:val="both"/>
        <w:rPr>
          <w:rFonts w:cstheme="minorHAnsi"/>
          <w:bCs/>
        </w:rPr>
      </w:pPr>
      <w:r w:rsidRPr="0064767E">
        <w:rPr>
          <w:rFonts w:cstheme="minorHAnsi"/>
          <w:bCs/>
        </w:rPr>
        <w:t xml:space="preserve">Jeżeli Wnioskodawcą jest operator </w:t>
      </w:r>
      <w:r w:rsidRPr="0064767E">
        <w:rPr>
          <w:rFonts w:cstheme="minorHAnsi"/>
        </w:rPr>
        <w:t>publicznego transportu zbiorowego w zakresie kolejowych przewozów pasażerskich lub przedsiębiorca o którym mowa w § 2 ust. 1 rozporządzeniem ERTMS, to należy wskazać co stanie się z taborem objętym projektem jeżeli w przeciągu 5 lat dnia otrzymania ostatniej płatności w ramach przedsięwzięcia umowa PSC zostanie rozwiązania lub wygaśnie i nie zostanie zawarta nowa umowa PSC.</w:t>
      </w:r>
    </w:p>
    <w:p w14:paraId="73AB32ED" w14:textId="77777777" w:rsidR="009D24E3" w:rsidRPr="0064767E" w:rsidRDefault="009D24E3" w:rsidP="009D24E3">
      <w:pPr>
        <w:pStyle w:val="Akapitzlist"/>
        <w:ind w:left="284"/>
        <w:jc w:val="both"/>
        <w:rPr>
          <w:rFonts w:cstheme="minorHAnsi"/>
          <w:bCs/>
        </w:rPr>
      </w:pPr>
    </w:p>
    <w:p w14:paraId="09CDA2D7" w14:textId="77777777" w:rsidR="009D24E3" w:rsidRPr="0064767E" w:rsidRDefault="009D24E3" w:rsidP="009D24E3">
      <w:pPr>
        <w:pStyle w:val="Akapitzlist"/>
        <w:ind w:left="284"/>
        <w:jc w:val="both"/>
        <w:rPr>
          <w:rFonts w:cstheme="minorHAnsi"/>
          <w:bCs/>
        </w:rPr>
      </w:pPr>
      <w:r w:rsidRPr="0064767E">
        <w:rPr>
          <w:rFonts w:cstheme="minorHAnsi"/>
          <w:bCs/>
        </w:rPr>
        <w:t xml:space="preserve">W dalszej części należy opisać montaż finansowy przedsięwzięcia na etap realizacji wraz z wyszczególnieniem kwoty wsparcia z KPO oraz kwoty wkładu własnego, wraz z kosztami niekwalifikowalnymi. Jeśli poza wsparciem z KPO przedsięwzięcie otrzyma dofinansowanie z innego </w:t>
      </w:r>
      <w:r w:rsidRPr="0064767E">
        <w:rPr>
          <w:rFonts w:cstheme="minorHAnsi"/>
          <w:bCs/>
        </w:rPr>
        <w:lastRenderedPageBreak/>
        <w:t xml:space="preserve">programu, również należy to opisać. Źródła finansowania wkładu własnego powinny zostać opisane i udowodnione. </w:t>
      </w:r>
    </w:p>
    <w:p w14:paraId="30ECC595" w14:textId="77777777" w:rsidR="009D24E3" w:rsidRPr="0064767E" w:rsidRDefault="009D24E3" w:rsidP="009D24E3">
      <w:pPr>
        <w:pStyle w:val="Akapitzlist"/>
        <w:ind w:left="284"/>
        <w:jc w:val="both"/>
        <w:rPr>
          <w:rFonts w:cstheme="minorHAnsi"/>
          <w:bCs/>
        </w:rPr>
      </w:pPr>
    </w:p>
    <w:p w14:paraId="0664B6CE" w14:textId="77777777" w:rsidR="009D24E3" w:rsidRPr="0064767E" w:rsidRDefault="009D24E3" w:rsidP="009D24E3">
      <w:pPr>
        <w:pStyle w:val="Akapitzlist"/>
        <w:ind w:left="284"/>
        <w:jc w:val="both"/>
        <w:rPr>
          <w:rFonts w:cstheme="minorHAnsi"/>
          <w:lang w:eastAsia="nb-NO"/>
        </w:rPr>
      </w:pPr>
      <w:r w:rsidRPr="0064767E">
        <w:rPr>
          <w:rFonts w:cstheme="minorHAnsi"/>
          <w:lang w:eastAsia="nb-NO"/>
        </w:rPr>
        <w:t>Jeżeli Wnioskodawca zidentyfikuje dodatkowe koszty eksploatacyjne taboru spowodowane korzystaniem z ETCS w okresie żywotności urządzeń wchodzących w zakres przedmiotowego projektu, należy je krótko opisać oraz zadeklarować w treści USW, że ich utrzymanie będzie uwzględnione w ramach utrzymania pojazdów kolejowych.</w:t>
      </w:r>
    </w:p>
    <w:sectPr w:rsidR="009D24E3" w:rsidRPr="0064767E">
      <w:headerReference w:type="default" r:id="rId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3DDCB" w16cex:dateUtc="2025-09-16T10:59:00Z"/>
  <w16cex:commentExtensible w16cex:durableId="2C73DD2A" w16cex:dateUtc="2025-09-16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8BBFE" w16cid:durableId="2C73DDCB"/>
  <w16cid:commentId w16cid:paraId="71F17869" w16cid:durableId="2C73DD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3DA67" w14:textId="77777777" w:rsidR="00F31BC6" w:rsidRDefault="00F31BC6" w:rsidP="009D24E3">
      <w:pPr>
        <w:spacing w:after="0" w:line="240" w:lineRule="auto"/>
      </w:pPr>
      <w:r>
        <w:separator/>
      </w:r>
    </w:p>
  </w:endnote>
  <w:endnote w:type="continuationSeparator" w:id="0">
    <w:p w14:paraId="41C1096F" w14:textId="77777777" w:rsidR="00F31BC6" w:rsidRDefault="00F31BC6" w:rsidP="009D2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panose1 w:val="00000500000000000000"/>
    <w:charset w:val="EE"/>
    <w:family w:val="auto"/>
    <w:pitch w:val="variable"/>
    <w:sig w:usb0="20000007" w:usb1="00000001" w:usb2="00000000" w:usb3="00000000" w:csb0="000001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72929" w14:textId="77777777" w:rsidR="00F31BC6" w:rsidRDefault="00F31BC6" w:rsidP="009D24E3">
      <w:pPr>
        <w:spacing w:after="0" w:line="240" w:lineRule="auto"/>
      </w:pPr>
      <w:r>
        <w:separator/>
      </w:r>
    </w:p>
  </w:footnote>
  <w:footnote w:type="continuationSeparator" w:id="0">
    <w:p w14:paraId="00EDC1A6" w14:textId="77777777" w:rsidR="00F31BC6" w:rsidRDefault="00F31BC6" w:rsidP="009D24E3">
      <w:pPr>
        <w:spacing w:after="0" w:line="240" w:lineRule="auto"/>
      </w:pPr>
      <w:r>
        <w:continuationSeparator/>
      </w:r>
    </w:p>
  </w:footnote>
  <w:footnote w:id="1">
    <w:p w14:paraId="2B4F910D" w14:textId="77777777" w:rsidR="00BA4513" w:rsidRDefault="00BA4513" w:rsidP="00BA4513">
      <w:r>
        <w:rPr>
          <w:rStyle w:val="Odwoanieprzypisudolnego"/>
        </w:rPr>
        <w:footnoteRef/>
      </w:r>
      <w:r w:rsidRPr="00115C8E">
        <w:t>)</w:t>
      </w:r>
      <w:r>
        <w:tab/>
      </w:r>
      <w:r w:rsidRPr="00115C8E">
        <w:t>Zmian</w:t>
      </w:r>
      <w:r>
        <w:t>y</w:t>
      </w:r>
      <w:r w:rsidRPr="00115C8E">
        <w:t xml:space="preserve"> wymienionego rozporządzenia został</w:t>
      </w:r>
      <w:r>
        <w:t>y</w:t>
      </w:r>
      <w:r w:rsidRPr="00115C8E">
        <w:t xml:space="preserve"> ogłoszon</w:t>
      </w:r>
      <w:r>
        <w:t>e</w:t>
      </w:r>
      <w:r w:rsidRPr="00115C8E">
        <w:t xml:space="preserve"> w Dz.</w:t>
      </w:r>
      <w:r>
        <w:t xml:space="preserve"> </w:t>
      </w:r>
      <w:r w:rsidRPr="00115C8E">
        <w:t xml:space="preserve">Urz. UE L </w:t>
      </w:r>
      <w:r w:rsidRPr="00CF26D3">
        <w:t>261</w:t>
      </w:r>
      <w:r w:rsidRPr="00115C8E">
        <w:t xml:space="preserve"> z 22.07.2021, str. 58</w:t>
      </w:r>
      <w:r w:rsidRPr="00253E41">
        <w:t>, Dz. Urz. UE L 241 z 19.09.2022, str. 16, Dz. Urz. UE L 275 z 25.10.2022, str. 23, Dz. Urz. UE L 63 z 28.02.2023, str. 1</w:t>
      </w:r>
      <w:r>
        <w:t>,</w:t>
      </w:r>
      <w:r w:rsidRPr="00253E41">
        <w:t xml:space="preserve"> Dz. Urz. UE L 130 z 16.05.2023, str. 1</w:t>
      </w:r>
      <w:r>
        <w:t xml:space="preserve"> oraz </w:t>
      </w:r>
      <w:r w:rsidRPr="00253E41">
        <w:t>Dz. Urz. UE</w:t>
      </w:r>
      <w:r w:rsidRPr="00754A94">
        <w:t xml:space="preserve"> L </w:t>
      </w:r>
      <w:r>
        <w:t>2024/</w:t>
      </w:r>
      <w:r w:rsidRPr="00754A94">
        <w:t xml:space="preserve">795 </w:t>
      </w:r>
      <w:r>
        <w:t xml:space="preserve">z </w:t>
      </w:r>
      <w:r w:rsidRPr="00754A94">
        <w:t xml:space="preserve">29.2.2024, </w:t>
      </w:r>
      <w:r>
        <w:t>str</w:t>
      </w:r>
      <w:r w:rsidRPr="00754A94">
        <w:t>.1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90E4" w14:textId="77777777" w:rsidR="009D24E3" w:rsidRDefault="009D24E3">
    <w:pPr>
      <w:pStyle w:val="Nagwek"/>
    </w:pPr>
    <w:r w:rsidRPr="00090848">
      <w:rPr>
        <w:noProof/>
        <w:lang w:eastAsia="pl-PL"/>
      </w:rPr>
      <w:drawing>
        <wp:inline distT="0" distB="0" distL="0" distR="0" wp14:anchorId="448654FE" wp14:editId="70776EBF">
          <wp:extent cx="5486400" cy="528955"/>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86400" cy="528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A26"/>
    <w:multiLevelType w:val="hybridMultilevel"/>
    <w:tmpl w:val="24F63BE4"/>
    <w:lvl w:ilvl="0" w:tplc="A6FEC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0302D"/>
    <w:multiLevelType w:val="hybridMultilevel"/>
    <w:tmpl w:val="09E2940C"/>
    <w:lvl w:ilvl="0" w:tplc="04150015">
      <w:start w:val="1"/>
      <w:numFmt w:val="upperLetter"/>
      <w:lvlText w:val="%1."/>
      <w:lvlJc w:val="left"/>
      <w:pPr>
        <w:ind w:left="720" w:hanging="360"/>
      </w:pPr>
    </w:lvl>
    <w:lvl w:ilvl="1" w:tplc="04150015">
      <w:start w:val="1"/>
      <w:numFmt w:val="upp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217D79"/>
    <w:multiLevelType w:val="hybridMultilevel"/>
    <w:tmpl w:val="C42EADFE"/>
    <w:lvl w:ilvl="0" w:tplc="04150019">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 w15:restartNumberingAfterBreak="0">
    <w:nsid w:val="32A93E03"/>
    <w:multiLevelType w:val="hybridMultilevel"/>
    <w:tmpl w:val="5AA02BBE"/>
    <w:lvl w:ilvl="0" w:tplc="A6FEC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68F43C0"/>
    <w:multiLevelType w:val="hybridMultilevel"/>
    <w:tmpl w:val="DAA69570"/>
    <w:lvl w:ilvl="0" w:tplc="D19280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9C45C0"/>
    <w:multiLevelType w:val="hybridMultilevel"/>
    <w:tmpl w:val="FBE4F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0549F5"/>
    <w:multiLevelType w:val="hybridMultilevel"/>
    <w:tmpl w:val="7CAAEC04"/>
    <w:lvl w:ilvl="0" w:tplc="AB6025E0">
      <w:start w:val="1"/>
      <w:numFmt w:val="upperRoman"/>
      <w:lvlText w:val="%1."/>
      <w:lvlJc w:val="left"/>
      <w:pPr>
        <w:ind w:left="1080" w:hanging="72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0E0928"/>
    <w:multiLevelType w:val="hybridMultilevel"/>
    <w:tmpl w:val="9DF8DFD4"/>
    <w:lvl w:ilvl="0" w:tplc="04150001">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8" w15:restartNumberingAfterBreak="0">
    <w:nsid w:val="49E228C1"/>
    <w:multiLevelType w:val="hybridMultilevel"/>
    <w:tmpl w:val="DBBC54F8"/>
    <w:lvl w:ilvl="0" w:tplc="EED876E2">
      <w:start w:val="1"/>
      <w:numFmt w:val="decimal"/>
      <w:lvlText w:val="%1."/>
      <w:lvlJc w:val="left"/>
      <w:pPr>
        <w:ind w:left="3338" w:hanging="360"/>
      </w:pPr>
      <w:rPr>
        <w:rFonts w:ascii="Nunito Sans" w:hAnsi="Nunito Sans" w:hint="default"/>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50BF01AB"/>
    <w:multiLevelType w:val="hybridMultilevel"/>
    <w:tmpl w:val="7D522F7A"/>
    <w:lvl w:ilvl="0" w:tplc="C26C5D5E">
      <w:start w:val="1"/>
      <w:numFmt w:val="bullet"/>
      <w:lvlText w:val=""/>
      <w:lvlJc w:val="left"/>
      <w:pPr>
        <w:ind w:left="770" w:hanging="360"/>
      </w:pPr>
      <w:rPr>
        <w:rFonts w:ascii="Symbol" w:hAnsi="Symbol" w:hint="default"/>
        <w:color w:val="auto"/>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0" w15:restartNumberingAfterBreak="0">
    <w:nsid w:val="58974F1F"/>
    <w:multiLevelType w:val="hybridMultilevel"/>
    <w:tmpl w:val="55169C22"/>
    <w:lvl w:ilvl="0" w:tplc="A6FECE12">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1" w15:restartNumberingAfterBreak="0">
    <w:nsid w:val="59ED2498"/>
    <w:multiLevelType w:val="hybridMultilevel"/>
    <w:tmpl w:val="E42887D8"/>
    <w:lvl w:ilvl="0" w:tplc="0415000F">
      <w:start w:val="1"/>
      <w:numFmt w:val="decimal"/>
      <w:lvlText w:val="%1."/>
      <w:lvlJc w:val="left"/>
      <w:pPr>
        <w:ind w:left="644"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0C1E27"/>
    <w:multiLevelType w:val="hybridMultilevel"/>
    <w:tmpl w:val="E13C79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2CC08E1"/>
    <w:multiLevelType w:val="hybridMultilevel"/>
    <w:tmpl w:val="AD62254A"/>
    <w:lvl w:ilvl="0" w:tplc="77022C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A04D90"/>
    <w:multiLevelType w:val="hybridMultilevel"/>
    <w:tmpl w:val="372CFF4A"/>
    <w:lvl w:ilvl="0" w:tplc="C638EB3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D84CB4"/>
    <w:multiLevelType w:val="hybridMultilevel"/>
    <w:tmpl w:val="0B343F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4E55963"/>
    <w:multiLevelType w:val="hybridMultilevel"/>
    <w:tmpl w:val="F1D87B5A"/>
    <w:lvl w:ilvl="0" w:tplc="74AA00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14"/>
  </w:num>
  <w:num w:numId="4">
    <w:abstractNumId w:val="16"/>
  </w:num>
  <w:num w:numId="5">
    <w:abstractNumId w:val="2"/>
  </w:num>
  <w:num w:numId="6">
    <w:abstractNumId w:val="0"/>
  </w:num>
  <w:num w:numId="7">
    <w:abstractNumId w:val="3"/>
  </w:num>
  <w:num w:numId="8">
    <w:abstractNumId w:val="9"/>
  </w:num>
  <w:num w:numId="9">
    <w:abstractNumId w:val="15"/>
  </w:num>
  <w:num w:numId="10">
    <w:abstractNumId w:val="13"/>
  </w:num>
  <w:num w:numId="11">
    <w:abstractNumId w:val="10"/>
  </w:num>
  <w:num w:numId="12">
    <w:abstractNumId w:val="5"/>
  </w:num>
  <w:num w:numId="13">
    <w:abstractNumId w:val="6"/>
  </w:num>
  <w:num w:numId="14">
    <w:abstractNumId w:val="8"/>
  </w:num>
  <w:num w:numId="15">
    <w:abstractNumId w:val="12"/>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4E3"/>
    <w:rsid w:val="0000589B"/>
    <w:rsid w:val="00021AD2"/>
    <w:rsid w:val="00097522"/>
    <w:rsid w:val="000E68E6"/>
    <w:rsid w:val="00102EB7"/>
    <w:rsid w:val="001459F9"/>
    <w:rsid w:val="001517BA"/>
    <w:rsid w:val="001658AC"/>
    <w:rsid w:val="001D6B04"/>
    <w:rsid w:val="002671AA"/>
    <w:rsid w:val="002F1AED"/>
    <w:rsid w:val="0037585A"/>
    <w:rsid w:val="003D4E88"/>
    <w:rsid w:val="00400DF2"/>
    <w:rsid w:val="004943C7"/>
    <w:rsid w:val="004954CE"/>
    <w:rsid w:val="00513720"/>
    <w:rsid w:val="0053237A"/>
    <w:rsid w:val="00590699"/>
    <w:rsid w:val="00591262"/>
    <w:rsid w:val="00641DEF"/>
    <w:rsid w:val="0066576B"/>
    <w:rsid w:val="0069344E"/>
    <w:rsid w:val="007116E8"/>
    <w:rsid w:val="00750746"/>
    <w:rsid w:val="008C0650"/>
    <w:rsid w:val="00967DA4"/>
    <w:rsid w:val="009A7BAD"/>
    <w:rsid w:val="009D24E3"/>
    <w:rsid w:val="00A52578"/>
    <w:rsid w:val="00A726D5"/>
    <w:rsid w:val="00AD65DC"/>
    <w:rsid w:val="00BA4513"/>
    <w:rsid w:val="00CB4CFE"/>
    <w:rsid w:val="00CB7AE8"/>
    <w:rsid w:val="00D115AA"/>
    <w:rsid w:val="00D1346F"/>
    <w:rsid w:val="00D20769"/>
    <w:rsid w:val="00D40FEF"/>
    <w:rsid w:val="00D60050"/>
    <w:rsid w:val="00E20E40"/>
    <w:rsid w:val="00E25A5C"/>
    <w:rsid w:val="00EB2911"/>
    <w:rsid w:val="00ED096B"/>
    <w:rsid w:val="00EE4F30"/>
    <w:rsid w:val="00F253AC"/>
    <w:rsid w:val="00F31BC6"/>
    <w:rsid w:val="00F52210"/>
    <w:rsid w:val="00F81D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DDE8"/>
  <w15:chartTrackingRefBased/>
  <w15:docId w15:val="{3FDFA4ED-140C-497F-951F-04919166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24E3"/>
  </w:style>
  <w:style w:type="paragraph" w:styleId="Nagwek1">
    <w:name w:val="heading 1"/>
    <w:basedOn w:val="Normalny"/>
    <w:next w:val="Normalny"/>
    <w:link w:val="Nagwek1Znak"/>
    <w:uiPriority w:val="9"/>
    <w:qFormat/>
    <w:rsid w:val="009D24E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9D24E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9D24E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D24E3"/>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rsid w:val="009D24E3"/>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9D24E3"/>
    <w:rPr>
      <w:rFonts w:asciiTheme="majorHAnsi" w:eastAsiaTheme="majorEastAsia" w:hAnsiTheme="majorHAnsi" w:cstheme="majorBidi"/>
      <w:b/>
      <w:bCs/>
      <w:color w:val="5B9BD5" w:themeColor="accent1"/>
    </w:rPr>
  </w:style>
  <w:style w:type="paragraph" w:styleId="Akapitzlist">
    <w:name w:val="List Paragraph"/>
    <w:aliases w:val="maz_wyliczenie,opis dzialania,K-P_odwolanie,A_wyliczenie,Akapit z listą5,punktowane_snoroa,Numerowanie,Kolorowa lista — akcent 11,Akapit z listą BS,List Paragraph,Obiekt,List Paragraph1,BulletC,normalny tekst,Akapit z listą11,sw tekst,lp1"/>
    <w:basedOn w:val="Normalny"/>
    <w:link w:val="AkapitzlistZnak"/>
    <w:uiPriority w:val="34"/>
    <w:qFormat/>
    <w:rsid w:val="009D24E3"/>
    <w:pPr>
      <w:ind w:left="720"/>
      <w:contextualSpacing/>
    </w:pPr>
  </w:style>
  <w:style w:type="character" w:customStyle="1" w:styleId="AkapitzlistZnak">
    <w:name w:val="Akapit z listą Znak"/>
    <w:aliases w:val="maz_wyliczenie Znak,opis dzialania Znak,K-P_odwolanie Znak,A_wyliczenie Znak,Akapit z listą5 Znak,punktowane_snoroa Znak,Numerowanie Znak,Kolorowa lista — akcent 11 Znak,Akapit z listą BS Znak,List Paragraph Znak,Obiekt Znak,lp1 Znak"/>
    <w:basedOn w:val="Domylnaczcionkaakapitu"/>
    <w:link w:val="Akapitzlist"/>
    <w:uiPriority w:val="34"/>
    <w:qFormat/>
    <w:rsid w:val="009D24E3"/>
  </w:style>
  <w:style w:type="character" w:customStyle="1" w:styleId="hgkelc">
    <w:name w:val="hgkelc"/>
    <w:basedOn w:val="Domylnaczcionkaakapitu"/>
    <w:rsid w:val="009D24E3"/>
  </w:style>
  <w:style w:type="paragraph" w:styleId="Nagwek">
    <w:name w:val="header"/>
    <w:basedOn w:val="Normalny"/>
    <w:link w:val="NagwekZnak"/>
    <w:uiPriority w:val="99"/>
    <w:unhideWhenUsed/>
    <w:rsid w:val="009D24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24E3"/>
  </w:style>
  <w:style w:type="paragraph" w:styleId="Stopka">
    <w:name w:val="footer"/>
    <w:basedOn w:val="Normalny"/>
    <w:link w:val="StopkaZnak"/>
    <w:uiPriority w:val="99"/>
    <w:unhideWhenUsed/>
    <w:rsid w:val="009D24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24E3"/>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Fußnote,Znak,o,fn"/>
    <w:basedOn w:val="Normalny"/>
    <w:link w:val="TekstprzypisudolnegoZnak"/>
    <w:uiPriority w:val="99"/>
    <w:unhideWhenUsed/>
    <w:qFormat/>
    <w:rsid w:val="00D60050"/>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ootnote text Znak"/>
    <w:basedOn w:val="Domylnaczcionkaakapitu"/>
    <w:link w:val="Tekstprzypisudolnego"/>
    <w:uiPriority w:val="99"/>
    <w:rsid w:val="00D60050"/>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 Exposant 3 Point,number,16 Poi"/>
    <w:basedOn w:val="Domylnaczcionkaakapitu"/>
    <w:uiPriority w:val="99"/>
    <w:unhideWhenUsed/>
    <w:rsid w:val="00D60050"/>
    <w:rPr>
      <w:vertAlign w:val="superscript"/>
    </w:rPr>
  </w:style>
  <w:style w:type="paragraph" w:styleId="Tekstkomentarza">
    <w:name w:val="annotation text"/>
    <w:aliases w:val="Znak1,Tekst komentarza Znak Znak,Znak Znak Znak,Tekst komentarza Znak Znak Znak"/>
    <w:basedOn w:val="Normalny"/>
    <w:link w:val="TekstkomentarzaZnak"/>
    <w:uiPriority w:val="99"/>
    <w:unhideWhenUsed/>
    <w:rsid w:val="00D60050"/>
    <w:pPr>
      <w:spacing w:line="240" w:lineRule="auto"/>
    </w:pPr>
    <w:rPr>
      <w:sz w:val="20"/>
      <w:szCs w:val="20"/>
    </w:rPr>
  </w:style>
  <w:style w:type="character" w:customStyle="1" w:styleId="TekstkomentarzaZnak">
    <w:name w:val="Tekst komentarza Znak"/>
    <w:aliases w:val="Znak1 Znak,Tekst komentarza Znak Znak Znak1,Znak Znak Znak Znak,Tekst komentarza Znak Znak Znak Znak"/>
    <w:basedOn w:val="Domylnaczcionkaakapitu"/>
    <w:link w:val="Tekstkomentarza"/>
    <w:uiPriority w:val="99"/>
    <w:rsid w:val="00D60050"/>
    <w:rPr>
      <w:sz w:val="20"/>
      <w:szCs w:val="20"/>
    </w:rPr>
  </w:style>
  <w:style w:type="character" w:styleId="Hipercze">
    <w:name w:val="Hyperlink"/>
    <w:basedOn w:val="Domylnaczcionkaakapitu"/>
    <w:uiPriority w:val="99"/>
    <w:unhideWhenUsed/>
    <w:rsid w:val="00D60050"/>
    <w:rPr>
      <w:color w:val="0563C1" w:themeColor="hyperlink"/>
      <w:u w:val="single"/>
    </w:rPr>
  </w:style>
  <w:style w:type="paragraph" w:styleId="HTML-wstpniesformatowany">
    <w:name w:val="HTML Preformatted"/>
    <w:basedOn w:val="Normalny"/>
    <w:link w:val="HTML-wstpniesformatowanyZnak"/>
    <w:uiPriority w:val="99"/>
    <w:unhideWhenUsed/>
    <w:rsid w:val="00D60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D60050"/>
    <w:rPr>
      <w:rFonts w:ascii="Courier New" w:eastAsia="Times New Roman" w:hAnsi="Courier New" w:cs="Courier New"/>
      <w:sz w:val="20"/>
      <w:szCs w:val="20"/>
      <w:lang w:eastAsia="pl-PL"/>
    </w:rPr>
  </w:style>
  <w:style w:type="paragraph" w:customStyle="1" w:styleId="PKTpunkt">
    <w:name w:val="PKT – punkt"/>
    <w:uiPriority w:val="13"/>
    <w:qFormat/>
    <w:rsid w:val="004943C7"/>
    <w:pPr>
      <w:spacing w:after="0" w:line="360" w:lineRule="auto"/>
      <w:ind w:left="510" w:hanging="510"/>
      <w:jc w:val="both"/>
    </w:pPr>
    <w:rPr>
      <w:rFonts w:ascii="Times" w:eastAsiaTheme="minorEastAsia" w:hAnsi="Times" w:cs="Arial"/>
      <w:bCs/>
      <w:sz w:val="24"/>
      <w:szCs w:val="20"/>
      <w:lang w:eastAsia="pl-PL"/>
    </w:rPr>
  </w:style>
  <w:style w:type="character" w:styleId="Odwoaniedokomentarza">
    <w:name w:val="annotation reference"/>
    <w:basedOn w:val="Domylnaczcionkaakapitu"/>
    <w:uiPriority w:val="99"/>
    <w:semiHidden/>
    <w:unhideWhenUsed/>
    <w:rsid w:val="004943C7"/>
    <w:rPr>
      <w:sz w:val="16"/>
      <w:szCs w:val="16"/>
    </w:rPr>
  </w:style>
  <w:style w:type="paragraph" w:styleId="Tematkomentarza">
    <w:name w:val="annotation subject"/>
    <w:basedOn w:val="Tekstkomentarza"/>
    <w:next w:val="Tekstkomentarza"/>
    <w:link w:val="TematkomentarzaZnak"/>
    <w:uiPriority w:val="99"/>
    <w:semiHidden/>
    <w:unhideWhenUsed/>
    <w:rsid w:val="004943C7"/>
    <w:rPr>
      <w:b/>
      <w:bCs/>
    </w:rPr>
  </w:style>
  <w:style w:type="character" w:customStyle="1" w:styleId="TematkomentarzaZnak">
    <w:name w:val="Temat komentarza Znak"/>
    <w:basedOn w:val="TekstkomentarzaZnak"/>
    <w:link w:val="Tematkomentarza"/>
    <w:uiPriority w:val="99"/>
    <w:semiHidden/>
    <w:rsid w:val="004943C7"/>
    <w:rPr>
      <w:b/>
      <w:bCs/>
      <w:sz w:val="20"/>
      <w:szCs w:val="20"/>
    </w:rPr>
  </w:style>
  <w:style w:type="paragraph" w:styleId="Tekstdymka">
    <w:name w:val="Balloon Text"/>
    <w:basedOn w:val="Normalny"/>
    <w:link w:val="TekstdymkaZnak"/>
    <w:uiPriority w:val="99"/>
    <w:semiHidden/>
    <w:unhideWhenUsed/>
    <w:rsid w:val="004943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43C7"/>
    <w:rPr>
      <w:rFonts w:ascii="Segoe UI" w:hAnsi="Segoe UI" w:cs="Segoe UI"/>
      <w:sz w:val="18"/>
      <w:szCs w:val="18"/>
    </w:rPr>
  </w:style>
  <w:style w:type="paragraph" w:styleId="Poprawka">
    <w:name w:val="Revision"/>
    <w:hidden/>
    <w:uiPriority w:val="99"/>
    <w:semiHidden/>
    <w:rsid w:val="00ED096B"/>
    <w:pPr>
      <w:spacing w:after="0" w:line="240" w:lineRule="auto"/>
    </w:pPr>
  </w:style>
  <w:style w:type="paragraph" w:customStyle="1" w:styleId="USTustnpkodeksu">
    <w:name w:val="UST(§) – ust. (§ np. kodeksu)"/>
    <w:basedOn w:val="Normalny"/>
    <w:uiPriority w:val="12"/>
    <w:qFormat/>
    <w:rsid w:val="003D4E88"/>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customStyle="1" w:styleId="ODNONIKtreodnonika">
    <w:name w:val="ODNOŚNIK – treść odnośnika"/>
    <w:uiPriority w:val="19"/>
    <w:qFormat/>
    <w:rsid w:val="003D4E88"/>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3D4E88"/>
    <w:rPr>
      <w:b w:val="0"/>
      <w:bCs w:val="0"/>
      <w:i w:val="0"/>
      <w:iCs w:val="0"/>
      <w:vanish w:val="0"/>
      <w:webHidden w:val="0"/>
      <w:spacing w:val="0"/>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2388</Words>
  <Characters>14328</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cupt.local</Company>
  <LinksUpToDate>false</LinksUpToDate>
  <CharactersWithSpaces>16683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Piwońska</dc:creator>
  <cp:keywords/>
  <dc:description/>
  <cp:lastModifiedBy>Katarzyna Piwońska</cp:lastModifiedBy>
  <cp:revision>3</cp:revision>
  <dcterms:created xsi:type="dcterms:W3CDTF">2025-09-29T08:50:00Z</dcterms:created>
  <dcterms:modified xsi:type="dcterms:W3CDTF">2025-09-29T08:51:00Z</dcterms:modified>
</cp:coreProperties>
</file>