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3311F" w14:textId="787E47F5" w:rsidR="000A5146" w:rsidRPr="006009A7" w:rsidRDefault="000A5146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 w:rsidRPr="006009A7">
        <w:rPr>
          <w:b/>
          <w:kern w:val="20"/>
          <w:sz w:val="20"/>
          <w:szCs w:val="20"/>
        </w:rPr>
        <w:t>FORMULARZ OŚWIADCZEŃ dla projekt</w:t>
      </w:r>
      <w:r w:rsidR="00781E9D">
        <w:rPr>
          <w:b/>
          <w:kern w:val="20"/>
          <w:sz w:val="20"/>
          <w:szCs w:val="20"/>
        </w:rPr>
        <w:t xml:space="preserve">u </w:t>
      </w:r>
      <w:r w:rsidRPr="006009A7">
        <w:rPr>
          <w:b/>
          <w:kern w:val="20"/>
          <w:sz w:val="20"/>
          <w:szCs w:val="20"/>
        </w:rPr>
        <w:t xml:space="preserve"> </w:t>
      </w:r>
      <w:r>
        <w:rPr>
          <w:b/>
          <w:kern w:val="20"/>
          <w:sz w:val="20"/>
          <w:szCs w:val="20"/>
        </w:rPr>
        <w:t>………………..</w:t>
      </w:r>
    </w:p>
    <w:p w14:paraId="795484D7" w14:textId="77777777" w:rsidR="000A5146" w:rsidRPr="006009A7" w:rsidRDefault="000A5146" w:rsidP="000A5146">
      <w:pPr>
        <w:spacing w:line="276" w:lineRule="auto"/>
        <w:jc w:val="center"/>
        <w:rPr>
          <w:b/>
          <w:sz w:val="20"/>
          <w:szCs w:val="20"/>
        </w:rPr>
      </w:pPr>
    </w:p>
    <w:p w14:paraId="3A7917DA" w14:textId="478DCD6C" w:rsidR="000A5146" w:rsidRPr="006009A7" w:rsidRDefault="00A31C5E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>Oświadczenia</w:t>
      </w:r>
      <w:r w:rsidR="000A5146" w:rsidRPr="006009A7">
        <w:rPr>
          <w:b/>
          <w:kern w:val="20"/>
          <w:sz w:val="20"/>
          <w:szCs w:val="20"/>
        </w:rPr>
        <w:t xml:space="preserve"> Wnioskodawcy w związku z ubieganiem </w:t>
      </w:r>
      <w:r w:rsidR="000A5146">
        <w:rPr>
          <w:b/>
          <w:kern w:val="20"/>
          <w:sz w:val="20"/>
          <w:szCs w:val="20"/>
        </w:rPr>
        <w:t xml:space="preserve">się o dofinansowanie </w:t>
      </w:r>
      <w:r w:rsidR="000A5146">
        <w:rPr>
          <w:b/>
          <w:kern w:val="20"/>
          <w:sz w:val="20"/>
          <w:szCs w:val="20"/>
        </w:rPr>
        <w:br/>
        <w:t>w ramach p</w:t>
      </w:r>
      <w:r w:rsidR="000A5146" w:rsidRPr="006009A7">
        <w:rPr>
          <w:b/>
          <w:kern w:val="20"/>
          <w:sz w:val="20"/>
          <w:szCs w:val="20"/>
        </w:rPr>
        <w:t xml:space="preserve">rogramu </w:t>
      </w:r>
      <w:r w:rsidR="000A5146">
        <w:rPr>
          <w:b/>
          <w:kern w:val="20"/>
          <w:sz w:val="20"/>
          <w:szCs w:val="20"/>
        </w:rPr>
        <w:t>Fundusze Europejskie na Infrastrukturę</w:t>
      </w:r>
      <w:r w:rsidR="00440553">
        <w:rPr>
          <w:b/>
          <w:kern w:val="20"/>
          <w:sz w:val="20"/>
          <w:szCs w:val="20"/>
        </w:rPr>
        <w:t>,</w:t>
      </w:r>
      <w:r w:rsidR="000A5146">
        <w:rPr>
          <w:b/>
          <w:kern w:val="20"/>
          <w:sz w:val="20"/>
          <w:szCs w:val="20"/>
        </w:rPr>
        <w:t xml:space="preserve"> Klimat</w:t>
      </w:r>
      <w:r w:rsidR="00440553">
        <w:rPr>
          <w:b/>
          <w:kern w:val="20"/>
          <w:sz w:val="20"/>
          <w:szCs w:val="20"/>
        </w:rPr>
        <w:t>,</w:t>
      </w:r>
      <w:r w:rsidR="00417ACA">
        <w:rPr>
          <w:b/>
          <w:kern w:val="20"/>
          <w:sz w:val="20"/>
          <w:szCs w:val="20"/>
        </w:rPr>
        <w:t xml:space="preserve"> </w:t>
      </w:r>
      <w:r w:rsidR="000A5146">
        <w:rPr>
          <w:b/>
          <w:kern w:val="20"/>
          <w:sz w:val="20"/>
          <w:szCs w:val="20"/>
        </w:rPr>
        <w:t>Środowisko 2021-2027</w:t>
      </w:r>
    </w:p>
    <w:p w14:paraId="5294E7D3" w14:textId="77777777" w:rsidR="00297BFA" w:rsidRDefault="00297BFA"/>
    <w:p w14:paraId="358E7D7E" w14:textId="77777777" w:rsidR="000A5146" w:rsidRDefault="000A5146"/>
    <w:p w14:paraId="36711D92" w14:textId="09D47818" w:rsidR="000A5146" w:rsidRPr="005C29F3" w:rsidRDefault="000A5146" w:rsidP="000A5146">
      <w:p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W związku z ubieganiem się przez [</w:t>
      </w:r>
      <w:r w:rsidRPr="005C29F3">
        <w:rPr>
          <w:i/>
          <w:kern w:val="20"/>
          <w:sz w:val="22"/>
          <w:szCs w:val="22"/>
        </w:rPr>
        <w:t>nazwa Wnioskodawcy</w:t>
      </w:r>
      <w:r w:rsidRPr="005C29F3">
        <w:rPr>
          <w:kern w:val="20"/>
          <w:sz w:val="22"/>
          <w:szCs w:val="22"/>
        </w:rPr>
        <w:t>] (zwanego/ą dalej Wnioskodawcą) o przyznanie</w:t>
      </w:r>
      <w:r w:rsidR="00A31C5E" w:rsidRPr="005C29F3">
        <w:rPr>
          <w:kern w:val="20"/>
          <w:sz w:val="22"/>
          <w:szCs w:val="22"/>
        </w:rPr>
        <w:t xml:space="preserve"> dofinansowania realizacji projektu pn. [</w:t>
      </w:r>
      <w:r w:rsidR="00A31C5E" w:rsidRPr="005C29F3">
        <w:rPr>
          <w:i/>
          <w:kern w:val="20"/>
          <w:sz w:val="22"/>
          <w:szCs w:val="22"/>
        </w:rPr>
        <w:t>tytuł projektu</w:t>
      </w:r>
      <w:r w:rsidR="00A31C5E" w:rsidRPr="005C29F3">
        <w:rPr>
          <w:kern w:val="20"/>
          <w:sz w:val="22"/>
          <w:szCs w:val="22"/>
        </w:rPr>
        <w:t>] (zwanego dalej Projektem) w </w:t>
      </w:r>
      <w:r w:rsidR="00FE7EC4" w:rsidRPr="005C29F3">
        <w:rPr>
          <w:kern w:val="20"/>
          <w:sz w:val="22"/>
          <w:szCs w:val="22"/>
        </w:rPr>
        <w:t>ramach p</w:t>
      </w:r>
      <w:r w:rsidR="00A31C5E" w:rsidRPr="005C29F3">
        <w:rPr>
          <w:kern w:val="20"/>
          <w:sz w:val="22"/>
          <w:szCs w:val="22"/>
        </w:rPr>
        <w:t>rogram</w:t>
      </w:r>
      <w:r w:rsidR="00FE7EC4" w:rsidRPr="005C29F3">
        <w:rPr>
          <w:kern w:val="20"/>
          <w:sz w:val="22"/>
          <w:szCs w:val="22"/>
        </w:rPr>
        <w:t>u</w:t>
      </w:r>
      <w:r w:rsidRPr="005C29F3">
        <w:rPr>
          <w:kern w:val="20"/>
          <w:sz w:val="22"/>
          <w:szCs w:val="22"/>
        </w:rPr>
        <w:t xml:space="preserve"> Fundusze Europejskie na Infrastrukturę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Klimat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Środowisko 2021-2027, Wnioskodawca oświadcza że*:</w:t>
      </w:r>
    </w:p>
    <w:p w14:paraId="2C8838DD" w14:textId="7A8C42FC" w:rsidR="00CF7D1B" w:rsidRPr="005C29F3" w:rsidRDefault="00CF7D1B" w:rsidP="00CF7D1B">
      <w:pPr>
        <w:numPr>
          <w:ilvl w:val="0"/>
          <w:numId w:val="1"/>
        </w:numPr>
        <w:spacing w:after="240" w:line="312" w:lineRule="auto"/>
        <w:ind w:left="357" w:hanging="357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Zakres rzeczowy projektu jest zgodny z przewidzianym w Szczegółowym Opisie Priorytetów programu Fundusze Europejskie na Infrastrukturę, Klimat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Środowisko 2021-2027</w:t>
      </w:r>
      <w:r w:rsidR="00661D77" w:rsidRPr="005C29F3">
        <w:rPr>
          <w:kern w:val="20"/>
          <w:sz w:val="22"/>
          <w:szCs w:val="22"/>
        </w:rPr>
        <w:t xml:space="preserve">: </w:t>
      </w:r>
      <w:r w:rsidR="00661D77" w:rsidRPr="005C29F3">
        <w:rPr>
          <w:b/>
          <w:kern w:val="20"/>
          <w:sz w:val="22"/>
          <w:szCs w:val="22"/>
        </w:rPr>
        <w:t>TAK/NIE</w:t>
      </w:r>
    </w:p>
    <w:p w14:paraId="1D73CA0D" w14:textId="093995A7" w:rsidR="00661D77" w:rsidRPr="005C29F3" w:rsidRDefault="00661D77" w:rsidP="00661D77">
      <w:pPr>
        <w:numPr>
          <w:ilvl w:val="0"/>
          <w:numId w:val="1"/>
        </w:numPr>
        <w:spacing w:after="240" w:line="312" w:lineRule="auto"/>
        <w:ind w:left="357" w:hanging="357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Oświadczam, że zapoznałam/em się z Regulaminem wyboru projektów i akceptuję jego zasady: </w:t>
      </w:r>
      <w:r w:rsidRPr="005C29F3">
        <w:rPr>
          <w:b/>
          <w:kern w:val="20"/>
          <w:sz w:val="22"/>
          <w:szCs w:val="22"/>
        </w:rPr>
        <w:t>TAK/NIE</w:t>
      </w:r>
    </w:p>
    <w:p w14:paraId="7DA560D6" w14:textId="042FD7E2" w:rsidR="00661D77" w:rsidRPr="005C29F3" w:rsidRDefault="00661D77" w:rsidP="00661D77">
      <w:pPr>
        <w:numPr>
          <w:ilvl w:val="0"/>
          <w:numId w:val="1"/>
        </w:numPr>
        <w:spacing w:after="240" w:line="312" w:lineRule="auto"/>
        <w:ind w:left="357" w:hanging="357"/>
        <w:jc w:val="both"/>
        <w:rPr>
          <w:b/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Oświadczam, że projekt nie został zakończony przed złożeniem dokumentacji aplikacyjnej, t.j. przed dniem złożenia wniosku o dofinansowanie nie nastąpił odbiór końcowy ostatnich robót (protokół odbioru końcowego), dostaw lub usług: </w:t>
      </w:r>
      <w:r w:rsidRPr="005C29F3">
        <w:rPr>
          <w:b/>
          <w:kern w:val="20"/>
          <w:sz w:val="22"/>
          <w:szCs w:val="22"/>
        </w:rPr>
        <w:t>TAK/NIE</w:t>
      </w:r>
    </w:p>
    <w:p w14:paraId="00FA536D" w14:textId="290BAC47" w:rsidR="00CF7D1B" w:rsidRPr="005C29F3" w:rsidRDefault="0084177F" w:rsidP="00CF7D1B">
      <w:pPr>
        <w:numPr>
          <w:ilvl w:val="0"/>
          <w:numId w:val="1"/>
        </w:numPr>
        <w:spacing w:after="240" w:line="312" w:lineRule="auto"/>
        <w:ind w:left="357" w:hanging="357"/>
        <w:jc w:val="both"/>
        <w:rPr>
          <w:color w:val="FF0000"/>
          <w:kern w:val="20"/>
          <w:sz w:val="22"/>
          <w:szCs w:val="22"/>
        </w:rPr>
      </w:pPr>
      <w:r w:rsidRPr="005C29F3">
        <w:rPr>
          <w:sz w:val="22"/>
          <w:szCs w:val="22"/>
        </w:rPr>
        <w:t xml:space="preserve">Oświadczam, że </w:t>
      </w:r>
      <w:r w:rsidR="00CF7D1B" w:rsidRPr="005C29F3">
        <w:rPr>
          <w:sz w:val="22"/>
          <w:szCs w:val="22"/>
        </w:rPr>
        <w:t>nie podlega</w:t>
      </w:r>
      <w:r w:rsidRPr="005C29F3">
        <w:rPr>
          <w:sz w:val="22"/>
          <w:szCs w:val="22"/>
        </w:rPr>
        <w:t>m</w:t>
      </w:r>
      <w:r w:rsidR="00CF7D1B" w:rsidRPr="005C29F3">
        <w:rPr>
          <w:sz w:val="22"/>
          <w:szCs w:val="22"/>
        </w:rPr>
        <w:t xml:space="preserve"> wykluczeniu z możliwości otrzymania dofinansowania zgodnie </w:t>
      </w:r>
      <w:r w:rsidR="00CF7D1B" w:rsidRPr="005C29F3">
        <w:rPr>
          <w:sz w:val="22"/>
          <w:szCs w:val="22"/>
        </w:rPr>
        <w:br/>
        <w:t xml:space="preserve">z art. </w:t>
      </w:r>
      <w:r w:rsidR="00C271BE" w:rsidRPr="005C29F3">
        <w:rPr>
          <w:sz w:val="22"/>
          <w:szCs w:val="22"/>
        </w:rPr>
        <w:t>61 ust. 3 pkt 2</w:t>
      </w:r>
      <w:r w:rsidR="00A34623" w:rsidRPr="005C29F3">
        <w:rPr>
          <w:sz w:val="22"/>
          <w:szCs w:val="22"/>
        </w:rPr>
        <w:t xml:space="preserve"> u</w:t>
      </w:r>
      <w:r w:rsidR="00FE7EC4" w:rsidRPr="005C29F3">
        <w:rPr>
          <w:sz w:val="22"/>
          <w:szCs w:val="22"/>
        </w:rPr>
        <w:t>stawy z dnia 28 kwietnia 2022</w:t>
      </w:r>
      <w:r w:rsidR="00CF7D1B" w:rsidRPr="005C29F3">
        <w:rPr>
          <w:sz w:val="22"/>
          <w:szCs w:val="22"/>
        </w:rPr>
        <w:t xml:space="preserve"> r. o zasadach realizacji </w:t>
      </w:r>
      <w:r w:rsidR="00440553" w:rsidRPr="005C29F3">
        <w:rPr>
          <w:sz w:val="22"/>
          <w:szCs w:val="22"/>
        </w:rPr>
        <w:t xml:space="preserve">zadań finansowanych ze środków europejskich </w:t>
      </w:r>
      <w:r w:rsidR="00CF7D1B" w:rsidRPr="005C29F3">
        <w:rPr>
          <w:sz w:val="22"/>
          <w:szCs w:val="22"/>
        </w:rPr>
        <w:t xml:space="preserve"> w perspektywie finansowej 2021-2027 </w:t>
      </w:r>
      <w:r w:rsidR="00FE7EC4" w:rsidRPr="005C29F3">
        <w:rPr>
          <w:sz w:val="22"/>
          <w:szCs w:val="22"/>
        </w:rPr>
        <w:t>(Dz. U. z 2022</w:t>
      </w:r>
      <w:r w:rsidR="00CF7D1B" w:rsidRPr="005C29F3">
        <w:rPr>
          <w:sz w:val="22"/>
          <w:szCs w:val="22"/>
        </w:rPr>
        <w:t>, p</w:t>
      </w:r>
      <w:r w:rsidR="00FE7EC4" w:rsidRPr="005C29F3">
        <w:rPr>
          <w:sz w:val="22"/>
          <w:szCs w:val="22"/>
        </w:rPr>
        <w:t>oz. 1</w:t>
      </w:r>
      <w:r w:rsidR="00440553" w:rsidRPr="005C29F3">
        <w:rPr>
          <w:sz w:val="22"/>
          <w:szCs w:val="22"/>
        </w:rPr>
        <w:t>079</w:t>
      </w:r>
      <w:r w:rsidR="00CF7D1B" w:rsidRPr="005C29F3">
        <w:rPr>
          <w:sz w:val="22"/>
          <w:szCs w:val="22"/>
        </w:rPr>
        <w:t xml:space="preserve">  z późn.zm.), zwanej dalej „ustawą wdrożeniową”, w tym:</w:t>
      </w:r>
    </w:p>
    <w:p w14:paraId="1E5F279C" w14:textId="2BE80CF9" w:rsidR="00CF7D1B" w:rsidRPr="005C29F3" w:rsidRDefault="00A34623" w:rsidP="00A34623">
      <w:pPr>
        <w:spacing w:before="40" w:after="240"/>
        <w:jc w:val="both"/>
        <w:rPr>
          <w:sz w:val="22"/>
          <w:szCs w:val="22"/>
        </w:rPr>
      </w:pPr>
      <w:r w:rsidRPr="005C29F3">
        <w:rPr>
          <w:sz w:val="22"/>
          <w:szCs w:val="22"/>
        </w:rPr>
        <w:t xml:space="preserve">- </w:t>
      </w:r>
      <w:r w:rsidR="00CF7D1B" w:rsidRPr="005C29F3">
        <w:rPr>
          <w:sz w:val="22"/>
          <w:szCs w:val="22"/>
        </w:rPr>
        <w:t xml:space="preserve">Wnioskodawca nie został wykluczony z możliwości otrzymania środków przeznaczonych na realizację programów z udziałem środków europejskich, na podstawie art. 207 ustawy z dnia 27 sierpnia 2009 r. </w:t>
      </w:r>
      <w:r w:rsidR="00CF7D1B" w:rsidRPr="005C29F3">
        <w:rPr>
          <w:sz w:val="22"/>
          <w:szCs w:val="22"/>
        </w:rPr>
        <w:br/>
        <w:t>o finansach publicznych (Dz. U. z 20</w:t>
      </w:r>
      <w:r w:rsidR="00F34CD7" w:rsidRPr="005C29F3">
        <w:rPr>
          <w:sz w:val="22"/>
          <w:szCs w:val="22"/>
        </w:rPr>
        <w:t>22</w:t>
      </w:r>
      <w:r w:rsidR="00CF7D1B" w:rsidRPr="005C29F3">
        <w:rPr>
          <w:sz w:val="22"/>
          <w:szCs w:val="22"/>
        </w:rPr>
        <w:t xml:space="preserve"> , poz. 1</w:t>
      </w:r>
      <w:r w:rsidR="00F34CD7" w:rsidRPr="005C29F3">
        <w:rPr>
          <w:sz w:val="22"/>
          <w:szCs w:val="22"/>
        </w:rPr>
        <w:t>634</w:t>
      </w:r>
      <w:r w:rsidR="00CF7D1B" w:rsidRPr="005C29F3">
        <w:rPr>
          <w:sz w:val="22"/>
          <w:szCs w:val="22"/>
        </w:rPr>
        <w:t xml:space="preserve">  z późn. zm.); art. 12 ust. 1 pkt 1 ustawy z dnia 15 czerwca 2012 r. o skutkach powierzenia wykonywania pracy cudzoziemcom przebywającym wbrew przepisom na terytorium Rzeczpospolitej Polskiej (Dz. U. z 20</w:t>
      </w:r>
      <w:r w:rsidR="00C271BE" w:rsidRPr="005C29F3">
        <w:rPr>
          <w:sz w:val="22"/>
          <w:szCs w:val="22"/>
        </w:rPr>
        <w:t>21</w:t>
      </w:r>
      <w:r w:rsidR="00CF7D1B" w:rsidRPr="005C29F3">
        <w:rPr>
          <w:sz w:val="22"/>
          <w:szCs w:val="22"/>
        </w:rPr>
        <w:t xml:space="preserve">, poz. </w:t>
      </w:r>
      <w:r w:rsidR="00C271BE" w:rsidRPr="005C29F3">
        <w:rPr>
          <w:sz w:val="22"/>
          <w:szCs w:val="22"/>
        </w:rPr>
        <w:t>1745</w:t>
      </w:r>
      <w:r w:rsidR="00CF7D1B" w:rsidRPr="005C29F3">
        <w:rPr>
          <w:sz w:val="22"/>
          <w:szCs w:val="22"/>
        </w:rPr>
        <w:t xml:space="preserve">); art. 9 ust. 1 pkt 2a ustawy </w:t>
      </w:r>
      <w:r w:rsidR="00661D77" w:rsidRPr="005C29F3">
        <w:rPr>
          <w:sz w:val="22"/>
          <w:szCs w:val="22"/>
        </w:rPr>
        <w:t xml:space="preserve"> </w:t>
      </w:r>
      <w:r w:rsidR="00CF7D1B" w:rsidRPr="005C29F3">
        <w:rPr>
          <w:sz w:val="22"/>
          <w:szCs w:val="22"/>
        </w:rPr>
        <w:t>z dnia 28 października 2002 r. o odpowiedzialności podmiotów zbiorowych na czyny zabronione pod groźbą kary (Dz. U. z 20</w:t>
      </w:r>
      <w:r w:rsidR="00C271BE" w:rsidRPr="005C29F3">
        <w:rPr>
          <w:sz w:val="22"/>
          <w:szCs w:val="22"/>
        </w:rPr>
        <w:t>20</w:t>
      </w:r>
      <w:r w:rsidR="00CF7D1B" w:rsidRPr="005C29F3">
        <w:rPr>
          <w:sz w:val="22"/>
          <w:szCs w:val="22"/>
        </w:rPr>
        <w:t xml:space="preserve"> ,  poz. </w:t>
      </w:r>
      <w:r w:rsidR="00C271BE" w:rsidRPr="005C29F3">
        <w:rPr>
          <w:sz w:val="22"/>
          <w:szCs w:val="22"/>
        </w:rPr>
        <w:t>358</w:t>
      </w:r>
      <w:r w:rsidR="00CF7D1B" w:rsidRPr="005C29F3">
        <w:rPr>
          <w:sz w:val="22"/>
          <w:szCs w:val="22"/>
        </w:rPr>
        <w:t xml:space="preserve">  z późn.zm.);</w:t>
      </w:r>
    </w:p>
    <w:p w14:paraId="0FF07720" w14:textId="7B727C8B" w:rsidR="0084177F" w:rsidRPr="005C29F3" w:rsidRDefault="00A34623" w:rsidP="00A3462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 w:rsidRPr="005C29F3">
        <w:rPr>
          <w:sz w:val="22"/>
          <w:szCs w:val="22"/>
        </w:rPr>
        <w:t xml:space="preserve">- </w:t>
      </w:r>
      <w:r w:rsidR="00CF7D1B" w:rsidRPr="005C29F3">
        <w:rPr>
          <w:sz w:val="22"/>
          <w:szCs w:val="22"/>
        </w:rPr>
        <w:t>projekt nie jest projektem zakończonym w rozumieniu art. 6</w:t>
      </w:r>
      <w:r w:rsidR="00C271BE" w:rsidRPr="005C29F3">
        <w:rPr>
          <w:sz w:val="22"/>
          <w:szCs w:val="22"/>
        </w:rPr>
        <w:t>3</w:t>
      </w:r>
      <w:r w:rsidR="00CF7D1B" w:rsidRPr="005C29F3">
        <w:rPr>
          <w:sz w:val="22"/>
          <w:szCs w:val="22"/>
        </w:rPr>
        <w:t xml:space="preserve"> rozporządzenia Parlamentu Europejskiego i Rady (UE) nr </w:t>
      </w:r>
      <w:r w:rsidR="00047D8D" w:rsidRPr="005C29F3">
        <w:rPr>
          <w:sz w:val="22"/>
          <w:szCs w:val="22"/>
        </w:rPr>
        <w:t>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  <w:r w:rsidR="0084177F" w:rsidRPr="005C29F3">
        <w:rPr>
          <w:sz w:val="22"/>
          <w:szCs w:val="22"/>
        </w:rPr>
        <w:t xml:space="preserve"> </w:t>
      </w:r>
      <w:r w:rsidR="0084177F" w:rsidRPr="005C29F3">
        <w:rPr>
          <w:rFonts w:eastAsiaTheme="minorHAnsi"/>
          <w:b/>
          <w:bCs/>
          <w:sz w:val="22"/>
          <w:szCs w:val="22"/>
        </w:rPr>
        <w:t>TAK/NIE</w:t>
      </w:r>
    </w:p>
    <w:p w14:paraId="437F4930" w14:textId="611223B3" w:rsidR="00CF7D1B" w:rsidRPr="005C29F3" w:rsidRDefault="00CF7D1B" w:rsidP="0084177F">
      <w:pPr>
        <w:pStyle w:val="Akapitzlist"/>
        <w:spacing w:before="40" w:after="240"/>
        <w:ind w:left="709"/>
        <w:jc w:val="both"/>
        <w:rPr>
          <w:rFonts w:ascii="Times New Roman" w:eastAsia="Times New Roman" w:hAnsi="Times New Roman"/>
          <w:lang w:eastAsia="pl-PL"/>
        </w:rPr>
      </w:pPr>
    </w:p>
    <w:p w14:paraId="28F5C7EF" w14:textId="59D866C3" w:rsidR="00661D77" w:rsidRPr="005C29F3" w:rsidRDefault="00661D77" w:rsidP="00661D77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 w:rsidRPr="005C29F3">
        <w:rPr>
          <w:rFonts w:ascii="Times New Roman" w:eastAsiaTheme="minorHAnsi" w:hAnsi="Times New Roman"/>
          <w:bCs/>
        </w:rPr>
        <w:t xml:space="preserve">Oświadczam, że Wnioskodawca nie podlega zakazowi udzielania bezpośredniego lub pośredniego wsparcia ze środków unijnych na podstawie art 1 ustawy z dnia 13 kwietnia 2022 r. o szczególnych rozwiązaniach w zakresie przeciwdziałania wspieraniu agresji na Ukrainę oraz służących ochronie bezpieczeństwa narodowego (Dz. U. poz. 835): </w:t>
      </w:r>
      <w:r w:rsidRPr="005C29F3">
        <w:rPr>
          <w:rFonts w:ascii="Times New Roman" w:eastAsiaTheme="minorHAnsi" w:hAnsi="Times New Roman"/>
          <w:b/>
          <w:bCs/>
        </w:rPr>
        <w:t>TAK/NIE</w:t>
      </w:r>
    </w:p>
    <w:p w14:paraId="5130A24B" w14:textId="55DBBBC4" w:rsidR="00661D77" w:rsidRPr="005C29F3" w:rsidRDefault="00661D77" w:rsidP="00661D77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</w:rPr>
      </w:pPr>
      <w:r w:rsidRPr="005C29F3">
        <w:rPr>
          <w:rFonts w:ascii="Times New Roman" w:eastAsiaTheme="minorHAnsi" w:hAnsi="Times New Roman"/>
          <w:bCs/>
        </w:rPr>
        <w:lastRenderedPageBreak/>
        <w:t xml:space="preserve">Oświadczam, że wnioskodawca nie jest przedsiębiorstwem znajdującym się w trudnej sytuacji w rozumieniu unijnych przepisów dotyczących pomocy państwa (Wytyczne dotyczące pomocy państwa na ratowanie i restrukturyzację przedsiębiorstw niefinansowych znajdujących się w trudnej sytuacji (Komunikat Komisji Europejskiej 2014/C 249/01)) i rozporządzeniem Komisji (UE) nr 651/2014 z dnia 17 czerwca 2014 r. uznające niektóre rodzaje pomocy za zgodne z rynkiem wewnętrznym w zastosowaniu art. 107 i 108 Traktatu): </w:t>
      </w:r>
      <w:r w:rsidRPr="005C29F3">
        <w:rPr>
          <w:rFonts w:ascii="Times New Roman" w:eastAsiaTheme="minorHAnsi" w:hAnsi="Times New Roman"/>
          <w:b/>
          <w:bCs/>
        </w:rPr>
        <w:t>TAK/NIE/NIE DOTYCZY</w:t>
      </w:r>
    </w:p>
    <w:p w14:paraId="63E19F0D" w14:textId="39B4E67D" w:rsidR="001701B4" w:rsidRPr="005C29F3" w:rsidRDefault="001701B4" w:rsidP="001701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240"/>
        <w:jc w:val="both"/>
        <w:rPr>
          <w:rFonts w:ascii="Times New Roman" w:eastAsia="Times New Roman" w:hAnsi="Times New Roman"/>
          <w:strike/>
          <w:lang w:eastAsia="pl-PL"/>
        </w:rPr>
      </w:pPr>
      <w:r w:rsidRPr="005C29F3">
        <w:rPr>
          <w:rFonts w:ascii="Times New Roman" w:eastAsiaTheme="minorHAnsi" w:hAnsi="Times New Roman"/>
          <w:bCs/>
        </w:rPr>
        <w:t xml:space="preserve">Oświadczam, że projekt nie obejmuje działań, które stanowiły część operacji podlegającej przeniesieniu produkcji zgodnie z art. 66 CPR lub które stanowiłyby przeniesienie działalności produkcyjnej zgodnie z art. 65 ust. 1 lit. a) CPR: </w:t>
      </w:r>
      <w:r w:rsidRPr="005C29F3">
        <w:rPr>
          <w:rFonts w:ascii="Times New Roman" w:eastAsiaTheme="minorHAnsi" w:hAnsi="Times New Roman"/>
          <w:b/>
          <w:bCs/>
        </w:rPr>
        <w:t>TAK/NIE/NIE DOTYCZY</w:t>
      </w:r>
    </w:p>
    <w:p w14:paraId="5E9AF899" w14:textId="6B23D674" w:rsidR="001701B4" w:rsidRPr="005C29F3" w:rsidRDefault="001701B4" w:rsidP="001701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240"/>
        <w:jc w:val="both"/>
        <w:rPr>
          <w:rFonts w:ascii="Times New Roman" w:eastAsia="Times New Roman" w:hAnsi="Times New Roman"/>
          <w:strike/>
          <w:lang w:eastAsia="pl-PL"/>
        </w:rPr>
      </w:pPr>
      <w:r w:rsidRPr="005C29F3">
        <w:rPr>
          <w:rFonts w:ascii="Times New Roman" w:eastAsiaTheme="minorHAnsi" w:hAnsi="Times New Roman"/>
          <w:bCs/>
        </w:rPr>
        <w:t xml:space="preserve">Oświadczam, że zobowiązuję się do niezwłocznego informowania Instytucji Pośredniczącej o wszelkich zmianach i wydarzeniach mających wpływ na zakres projektu, warunki jego realizacji oraz na wysokość, kwalifikowalność i zasady ponoszenia wydatków i warunki realizacji projektu: </w:t>
      </w:r>
      <w:r w:rsidRPr="005C29F3">
        <w:rPr>
          <w:rFonts w:ascii="Times New Roman" w:eastAsiaTheme="minorHAnsi" w:hAnsi="Times New Roman"/>
          <w:b/>
          <w:bCs/>
        </w:rPr>
        <w:t>TAK/NIE</w:t>
      </w:r>
    </w:p>
    <w:p w14:paraId="6CCCC357" w14:textId="40916AC1" w:rsidR="001701B4" w:rsidRPr="005C29F3" w:rsidRDefault="001701B4" w:rsidP="001701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240"/>
        <w:jc w:val="both"/>
        <w:rPr>
          <w:rFonts w:ascii="Times New Roman" w:eastAsia="Times New Roman" w:hAnsi="Times New Roman"/>
          <w:strike/>
          <w:lang w:eastAsia="pl-PL"/>
        </w:rPr>
      </w:pPr>
      <w:r w:rsidRPr="005C29F3">
        <w:rPr>
          <w:rFonts w:ascii="Times New Roman" w:eastAsiaTheme="minorHAnsi" w:hAnsi="Times New Roman"/>
          <w:bCs/>
        </w:rPr>
        <w:t>Zobowiązuję się do prowadzenia dla projektu odrębnej ewidencji księgowej kosztów, wydatków i przychodów lub stosowania w ramach istniejącego informatycznego systemu ewidencji księgowej odrębnego kodu księgowego umożliwiającego identyfikację wszystkich transakcji oraz poszczególnych operacji bankowych związanych z projektem oraz zapewnienia, że operacje gospodarcze są ewidencjonowane zgodnie z obowiązującymi przepisami:</w:t>
      </w:r>
      <w:r w:rsidRPr="005C29F3">
        <w:rPr>
          <w:rFonts w:ascii="Times New Roman" w:eastAsiaTheme="minorHAnsi" w:hAnsi="Times New Roman"/>
          <w:b/>
          <w:bCs/>
        </w:rPr>
        <w:t xml:space="preserve"> TAK/NIE</w:t>
      </w:r>
    </w:p>
    <w:p w14:paraId="6AC47431" w14:textId="7A9E86A6" w:rsidR="001701B4" w:rsidRPr="005C29F3" w:rsidRDefault="001701B4" w:rsidP="005C29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240"/>
        <w:jc w:val="both"/>
        <w:rPr>
          <w:rFonts w:ascii="Times New Roman" w:eastAsia="Times New Roman" w:hAnsi="Times New Roman"/>
          <w:strike/>
          <w:lang w:eastAsia="pl-PL"/>
        </w:rPr>
      </w:pPr>
      <w:r w:rsidRPr="005C29F3">
        <w:rPr>
          <w:rFonts w:ascii="Times New Roman" w:eastAsiaTheme="minorHAnsi" w:hAnsi="Times New Roman"/>
          <w:bCs/>
        </w:rPr>
        <w:t xml:space="preserve">Oświadczam, iż informacje zawarte w niniejszym wniosku o dofinansowanie są zgodne ze stanem faktycznym i prawnym oraz że jestem świadoma/y odpowiedzialności karnej za złożenie fałszywych oświadczeń: </w:t>
      </w:r>
      <w:r w:rsidRPr="005C29F3">
        <w:rPr>
          <w:rFonts w:ascii="Times New Roman" w:eastAsiaTheme="minorHAnsi" w:hAnsi="Times New Roman"/>
          <w:b/>
          <w:bCs/>
        </w:rPr>
        <w:t>TAK/NIE</w:t>
      </w:r>
    </w:p>
    <w:p w14:paraId="0527A0A7" w14:textId="77777777" w:rsidR="00CF7D1B" w:rsidRPr="005C29F3" w:rsidRDefault="00CF7D1B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5C29F3">
        <w:rPr>
          <w:rFonts w:ascii="Times New Roman" w:hAnsi="Times New Roman"/>
        </w:rPr>
        <w:t>Zostały zabezpieczone środki finansowe niezbędne do realizacji projektu, w tym zapewniające pokrycie kosztów wkładu własnego</w:t>
      </w:r>
      <w:r w:rsidRPr="005C29F3">
        <w:rPr>
          <w:rStyle w:val="Odwoanieprzypisudolnego"/>
          <w:rFonts w:ascii="Times New Roman" w:hAnsi="Times New Roman"/>
        </w:rPr>
        <w:footnoteReference w:id="1"/>
      </w:r>
      <w:r w:rsidRPr="005C29F3">
        <w:rPr>
          <w:rFonts w:ascii="Times New Roman" w:hAnsi="Times New Roman"/>
        </w:rPr>
        <w:t xml:space="preserve"> (z uwzględnieniem luki w finansowaniu) w wysokości [..…….] PLN, stanowiące [……] % kosztów kwalifikowalnych</w:t>
      </w:r>
      <w:r w:rsidRPr="005C29F3">
        <w:rPr>
          <w:rStyle w:val="Odwoanieprzypisudolnego"/>
          <w:rFonts w:ascii="Times New Roman" w:hAnsi="Times New Roman"/>
        </w:rPr>
        <w:footnoteReference w:id="2"/>
      </w:r>
      <w:r w:rsidRPr="005C29F3">
        <w:rPr>
          <w:rFonts w:ascii="Times New Roman" w:hAnsi="Times New Roman"/>
        </w:rPr>
        <w:t xml:space="preserve"> Projektu, oraz całości kosztów niekwalifikowalnych</w:t>
      </w:r>
      <w:r w:rsidRPr="005C29F3">
        <w:rPr>
          <w:rStyle w:val="Odwoanieprzypisudolnego"/>
          <w:rFonts w:ascii="Times New Roman" w:hAnsi="Times New Roman"/>
        </w:rPr>
        <w:footnoteReference w:id="3"/>
      </w:r>
      <w:r w:rsidRPr="005C29F3">
        <w:rPr>
          <w:rFonts w:ascii="Times New Roman" w:hAnsi="Times New Roman"/>
        </w:rPr>
        <w:t xml:space="preserve"> w wysokości [….….] PLN</w:t>
      </w:r>
      <w:r w:rsidRPr="005C29F3">
        <w:rPr>
          <w:rStyle w:val="Odwoanieprzypisudolnego"/>
          <w:rFonts w:ascii="Times New Roman" w:hAnsi="Times New Roman"/>
        </w:rPr>
        <w:footnoteReference w:id="4"/>
      </w:r>
      <w:r w:rsidRPr="005C29F3">
        <w:rPr>
          <w:rFonts w:ascii="Times New Roman" w:hAnsi="Times New Roman"/>
        </w:rPr>
        <w:t>:</w:t>
      </w:r>
    </w:p>
    <w:p w14:paraId="5C4AD92B" w14:textId="77777777" w:rsidR="00CF7D1B" w:rsidRPr="005C29F3" w:rsidRDefault="00CF7D1B" w:rsidP="00CF7D1B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5C29F3">
        <w:rPr>
          <w:rFonts w:ascii="Times New Roman" w:hAnsi="Times New Roman"/>
          <w:kern w:val="20"/>
        </w:rPr>
        <w:t xml:space="preserve">w celu potwierdzenia zabezpieczenia finansowego projektu dołączono dokumenty potwierdzające zabezpieczenie wkładu własnego w wysokości […………] </w:t>
      </w:r>
      <w:r w:rsidRPr="005C29F3">
        <w:rPr>
          <w:rFonts w:ascii="Times New Roman" w:hAnsi="Times New Roman"/>
          <w:iCs/>
          <w:kern w:val="20"/>
        </w:rPr>
        <w:t>PLN;</w:t>
      </w:r>
    </w:p>
    <w:p w14:paraId="03F37799" w14:textId="766ECDD4" w:rsidR="00F52C04" w:rsidRPr="005C29F3" w:rsidRDefault="00CF7D1B" w:rsidP="00F52C04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5C29F3">
        <w:rPr>
          <w:rFonts w:ascii="Times New Roman" w:hAnsi="Times New Roman"/>
          <w:iCs/>
          <w:kern w:val="20"/>
        </w:rPr>
        <w:t xml:space="preserve">w celu potwierdzenia zabezpieczenia finansowego projektu dołączono dokumenty potwierdzające zabezpieczenie środków finansowych na wydatki niekwalifikowalne projektu </w:t>
      </w:r>
      <w:r w:rsidRPr="005C29F3">
        <w:rPr>
          <w:rFonts w:ascii="Times New Roman" w:hAnsi="Times New Roman"/>
          <w:kern w:val="20"/>
        </w:rPr>
        <w:t xml:space="preserve">w wysokości […………] </w:t>
      </w:r>
      <w:r w:rsidRPr="005C29F3">
        <w:rPr>
          <w:rFonts w:ascii="Times New Roman" w:hAnsi="Times New Roman"/>
          <w:iCs/>
          <w:kern w:val="20"/>
        </w:rPr>
        <w:t>PLN.</w:t>
      </w:r>
    </w:p>
    <w:p w14:paraId="13DB4736" w14:textId="7669DF9D" w:rsidR="00F52C04" w:rsidRPr="005C29F3" w:rsidRDefault="00F52C04" w:rsidP="005C29F3">
      <w:pPr>
        <w:pStyle w:val="Akapitzlist"/>
        <w:numPr>
          <w:ilvl w:val="0"/>
          <w:numId w:val="36"/>
        </w:numPr>
        <w:spacing w:after="240"/>
        <w:jc w:val="both"/>
        <w:rPr>
          <w:rFonts w:ascii="Times New Roman" w:hAnsi="Times New Roman"/>
          <w:iCs/>
          <w:kern w:val="20"/>
        </w:rPr>
      </w:pPr>
      <w:r w:rsidRPr="005C29F3">
        <w:rPr>
          <w:rFonts w:ascii="Times New Roman" w:hAnsi="Times New Roman"/>
          <w:iCs/>
          <w:kern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7E6966CF" w14:textId="5104D724" w:rsidR="004F072E" w:rsidRPr="005C29F3" w:rsidRDefault="004F072E" w:rsidP="005C29F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lastRenderedPageBreak/>
        <w:t>Projekt obejmuje elementy edukacyjne w zakresie podnoszenia świadom</w:t>
      </w:r>
      <w:r w:rsidR="00FF690C" w:rsidRPr="005C29F3">
        <w:rPr>
          <w:rFonts w:ascii="Times New Roman" w:eastAsiaTheme="minorHAnsi" w:hAnsi="Times New Roman"/>
          <w:color w:val="000000"/>
        </w:rPr>
        <w:t>ości ekologicznej społeczeństwa</w:t>
      </w:r>
      <w:r w:rsidRPr="005C29F3">
        <w:rPr>
          <w:rFonts w:ascii="Times New Roman" w:eastAsiaTheme="minorHAnsi" w:hAnsi="Times New Roman"/>
          <w:color w:val="000000"/>
        </w:rPr>
        <w:t>, na przykład czystego powietrza, rozwiązania zgodne z GOZ lub oszczędności energii/zasobów naturalnych (jeśli dotyczy)</w:t>
      </w:r>
      <w:r w:rsidR="00AD12F5" w:rsidRPr="005C29F3">
        <w:rPr>
          <w:rFonts w:ascii="Times New Roman" w:eastAsiaTheme="minorHAnsi" w:hAnsi="Times New Roman"/>
          <w:color w:val="000000"/>
        </w:rPr>
        <w:t>:</w:t>
      </w:r>
    </w:p>
    <w:p w14:paraId="41BE5FE9" w14:textId="522B6AF7" w:rsidR="00AD12F5" w:rsidRPr="005C29F3" w:rsidRDefault="00AD12F5" w:rsidP="00AD12F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 ramach projektu zostały zastosowane rozwiązania w zakresie gospodarki o obiegu zamkniętym (wynikające z „Mapy drogowej Transformacji w kierunku gospodarki o obiegu zamkniętym”); </w:t>
      </w:r>
    </w:p>
    <w:p w14:paraId="335EAD4E" w14:textId="17B3B0EE" w:rsidR="00AD12F5" w:rsidRPr="005C29F3" w:rsidRDefault="00AD12F5" w:rsidP="00AD12F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 ramach projektu zostały zastosowane rozwiązania w zakresie odporności i adaptacji do zmian klimatu; </w:t>
      </w:r>
    </w:p>
    <w:p w14:paraId="34ED8929" w14:textId="5B1C431A" w:rsidR="00AD12F5" w:rsidRPr="005C29F3" w:rsidRDefault="00AD12F5" w:rsidP="00AD12F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 ramach projektu zostały zastosowane rozwiązania w zakresie ochrony przyrody (w tym zachowanie istniejących drzew i terenów zielonych oraz różnorodności biologicznej); </w:t>
      </w:r>
    </w:p>
    <w:p w14:paraId="7B2885E4" w14:textId="77777777" w:rsidR="00AD12F5" w:rsidRPr="005C29F3" w:rsidRDefault="00AD12F5" w:rsidP="00AD12F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 ramach projektu zostały zastosowane elementy w zakresie poprawy efektywności energetycznej i OZE; </w:t>
      </w:r>
    </w:p>
    <w:p w14:paraId="1298BEEE" w14:textId="0B32FCCB" w:rsidR="00AD12F5" w:rsidRPr="005C29F3" w:rsidRDefault="00AD12F5" w:rsidP="00AD12F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>w ramach projektu realizowane są dodatkowe nasadzenia drzew i krzewów na terenie realizacji projektu ponad te wynikające z rozstrzygnięć administracyjnych.</w:t>
      </w:r>
    </w:p>
    <w:p w14:paraId="74CB70CF" w14:textId="77777777" w:rsidR="00AD12F5" w:rsidRPr="005C29F3" w:rsidRDefault="00AD12F5" w:rsidP="00AD12F5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22"/>
          <w:szCs w:val="22"/>
        </w:rPr>
      </w:pPr>
    </w:p>
    <w:p w14:paraId="5F35E79B" w14:textId="3017EADD" w:rsidR="00FF690C" w:rsidRPr="005C29F3" w:rsidRDefault="00BD10F4" w:rsidP="005C29F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>Zakres projektu jest zgodny z dokumentami składającymi się na spełnienie warunków podstawowych, tj. spójny z odpowiednimi strategiami i dokumentami dotyczącymi planowania.</w:t>
      </w:r>
    </w:p>
    <w:p w14:paraId="6198DDB8" w14:textId="77777777" w:rsidR="00F52C04" w:rsidRPr="005C29F3" w:rsidRDefault="00BE1B81" w:rsidP="005C29F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Wnioskodawca nie </w:t>
      </w:r>
      <w:r w:rsidR="00F52C04" w:rsidRPr="005C29F3">
        <w:rPr>
          <w:rFonts w:ascii="Times New Roman" w:eastAsiaTheme="minorHAnsi" w:hAnsi="Times New Roman"/>
          <w:color w:val="000000"/>
        </w:rPr>
        <w:t>jest przedsiębiorstwem w trudnej sytuacji w rozumieniu rozporządzenia Komisji UE 651/2014</w:t>
      </w:r>
      <w:r w:rsidRPr="005C29F3">
        <w:rPr>
          <w:rFonts w:ascii="Times New Roman" w:eastAsiaTheme="minorHAnsi" w:hAnsi="Times New Roman"/>
          <w:color w:val="000000"/>
        </w:rPr>
        <w:t xml:space="preserve"> </w:t>
      </w:r>
      <w:r w:rsidR="00F52C04" w:rsidRPr="005C29F3">
        <w:rPr>
          <w:rFonts w:ascii="Times New Roman" w:eastAsiaTheme="minorHAnsi" w:hAnsi="Times New Roman"/>
          <w:color w:val="000000"/>
        </w:rPr>
        <w:t xml:space="preserve">(Dz. Urz. UE 2014 L 187/1) albo w rozumieniu komunikatu Komisji Wytyczne dotyczące pomocy państwa na ratowanie i restrukturyzację przedsiębiorstw niefinansowych znajdujących się w trudnej sytuacji (Dz. Urz. UE 2014 C 249/1) w zależności od tego, która jest właściwa (zgodnie z przepisami o pomocy publicznej). </w:t>
      </w:r>
    </w:p>
    <w:p w14:paraId="5397322A" w14:textId="343BDE25" w:rsidR="00F52C04" w:rsidRPr="005C29F3" w:rsidRDefault="00F52C04" w:rsidP="00F52C04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W przypadku projektów, których dofinansowanie nie stanowi pomocy publicznej dla ustalenia czy wnioskodawca nie jest przedsiębiorstwem w trudnej sytuacji stosuje się rozporządzenie Komisji (UE) 651/2014. Kryterium nie ma zastosowania w sytuacji gdy dofinansowanie stanowi pomoc de minimis lub wsparcie podlegające tymczasowym zasadom pomocy państwa ustanowionym w celu odpowiedzi na wystąpienie wyjątkowych okoliczności, chyba że co innego wynika z przepisów o pomocy publicznej. </w:t>
      </w:r>
    </w:p>
    <w:p w14:paraId="26AC6F89" w14:textId="77777777" w:rsidR="00A828B2" w:rsidRPr="005C29F3" w:rsidRDefault="00A828B2" w:rsidP="00CF7D1B">
      <w:pPr>
        <w:rPr>
          <w:iCs/>
          <w:kern w:val="20"/>
          <w:sz w:val="22"/>
          <w:szCs w:val="22"/>
        </w:rPr>
      </w:pPr>
    </w:p>
    <w:p w14:paraId="403FA9F8" w14:textId="77777777" w:rsidR="00A828B2" w:rsidRPr="005C29F3" w:rsidRDefault="00A828B2" w:rsidP="005C29F3">
      <w:pPr>
        <w:numPr>
          <w:ilvl w:val="0"/>
          <w:numId w:val="36"/>
        </w:numPr>
        <w:spacing w:after="240" w:line="312" w:lineRule="auto"/>
        <w:ind w:left="357" w:hanging="357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Projekt zgodny jest ze Strategią Unii Europejskiej dla regionu Morza Bałtyckiego (SUE RMB)*:</w:t>
      </w:r>
    </w:p>
    <w:p w14:paraId="656868B5" w14:textId="33463EDF" w:rsidR="00A828B2" w:rsidRPr="005C29F3" w:rsidRDefault="00A828B2" w:rsidP="00A828B2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5C29F3">
        <w:rPr>
          <w:rFonts w:ascii="Times New Roman" w:hAnsi="Times New Roman"/>
          <w:iCs/>
          <w:kern w:val="20"/>
        </w:rPr>
        <w:t>ma status flagowych projektów w ramach SUE RMB,</w:t>
      </w:r>
    </w:p>
    <w:p w14:paraId="0E3D5130" w14:textId="71A01EFE" w:rsidR="00143706" w:rsidRPr="005C29F3" w:rsidRDefault="00A828B2" w:rsidP="004D4B17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eastAsiaTheme="minorHAnsi" w:hAnsi="Times New Roman"/>
        </w:rPr>
      </w:pPr>
      <w:r w:rsidRPr="005C29F3">
        <w:rPr>
          <w:rFonts w:ascii="Times New Roman" w:hAnsi="Times New Roman"/>
          <w:iCs/>
          <w:kern w:val="20"/>
        </w:rPr>
        <w:t>przyczynia się do osiągnięcia wskaźników, o których mowa w Planie działania UE dotyczącym Strategii UE dla Regionu Morza Bałtyckiego dla jednego z obszarów priorytetowych</w:t>
      </w:r>
      <w:r w:rsidR="004D4B17" w:rsidRPr="005C29F3">
        <w:rPr>
          <w:rFonts w:ascii="Times New Roman" w:hAnsi="Times New Roman"/>
          <w:iCs/>
          <w:kern w:val="20"/>
        </w:rPr>
        <w:t xml:space="preserve">: Transport, Energy,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Bio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Agri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Hazards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Nutri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Ship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Safe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Secure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Culture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Tourism</w:t>
      </w:r>
      <w:proofErr w:type="spellEnd"/>
      <w:r w:rsidR="004D4B17" w:rsidRPr="005C29F3">
        <w:rPr>
          <w:rFonts w:ascii="Times New Roman" w:hAnsi="Times New Roman"/>
          <w:iCs/>
          <w:kern w:val="20"/>
        </w:rPr>
        <w:t xml:space="preserve">, </w:t>
      </w:r>
      <w:proofErr w:type="spellStart"/>
      <w:r w:rsidR="004D4B17" w:rsidRPr="005C29F3">
        <w:rPr>
          <w:rFonts w:ascii="Times New Roman" w:hAnsi="Times New Roman"/>
          <w:iCs/>
          <w:kern w:val="20"/>
        </w:rPr>
        <w:t>Health</w:t>
      </w:r>
      <w:proofErr w:type="spellEnd"/>
      <w:r w:rsidR="004D4B17" w:rsidRPr="005C29F3">
        <w:rPr>
          <w:rFonts w:ascii="Times New Roman" w:hAnsi="Times New Roman"/>
          <w:iCs/>
          <w:kern w:val="20"/>
        </w:rPr>
        <w:t>.</w:t>
      </w:r>
      <w:r w:rsidR="004D4B17" w:rsidRPr="005C29F3">
        <w:rPr>
          <w:rFonts w:ascii="Times New Roman" w:eastAsiaTheme="minorHAnsi" w:hAnsi="Times New Roman"/>
        </w:rPr>
        <w:t xml:space="preserve"> </w:t>
      </w:r>
    </w:p>
    <w:p w14:paraId="3094836E" w14:textId="7E2FC2D1" w:rsidR="00FF690C" w:rsidRPr="005C29F3" w:rsidRDefault="00143706" w:rsidP="005C29F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>Projekt przewiduje elementy związane ze współpracą z partnerami z innych państw:</w:t>
      </w:r>
    </w:p>
    <w:p w14:paraId="60F2A3A0" w14:textId="3D20517B" w:rsidR="00143706" w:rsidRPr="005C29F3" w:rsidRDefault="00143706" w:rsidP="0014370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>projekt zakłada współpracę z partnerami z innych państw, tj. wspólne działania mające bezpośredni związek i wpływ na kształt i realizację inwestycji objętej projektem;</w:t>
      </w:r>
    </w:p>
    <w:p w14:paraId="49327A1F" w14:textId="3B234E5B" w:rsidR="00143706" w:rsidRPr="005C29F3" w:rsidRDefault="00143706" w:rsidP="0014370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lastRenderedPageBreak/>
        <w:t>projekt jest komplementarny do innych projektów realizowanych poza granicami Polski w UE, krajach kandydujących i stowarzyszonych;</w:t>
      </w:r>
    </w:p>
    <w:p w14:paraId="75DC93AA" w14:textId="7F655941" w:rsidR="00143706" w:rsidRPr="005C29F3" w:rsidRDefault="00143706" w:rsidP="0014370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>projekt obejmuje wymianę wiedzy i doświadczeń oraz konsultacje, z partnerami z innych państw w zakresie zagadnień związanych z realizowanym projektem;</w:t>
      </w:r>
    </w:p>
    <w:p w14:paraId="3A534BD6" w14:textId="0B46F74F" w:rsidR="00FF690C" w:rsidRPr="005C29F3" w:rsidRDefault="00143706" w:rsidP="005C29F3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5C29F3">
        <w:rPr>
          <w:rFonts w:ascii="Times New Roman" w:eastAsiaTheme="minorHAnsi" w:hAnsi="Times New Roman"/>
          <w:color w:val="000000"/>
        </w:rPr>
        <w:t xml:space="preserve">projekt nie spełnia kryterium; </w:t>
      </w:r>
    </w:p>
    <w:p w14:paraId="6BF3828E" w14:textId="77777777" w:rsidR="00FF690C" w:rsidRPr="005C29F3" w:rsidRDefault="00FF690C" w:rsidP="00FF690C">
      <w:pPr>
        <w:spacing w:after="240"/>
        <w:ind w:left="349"/>
        <w:jc w:val="both"/>
        <w:rPr>
          <w:iCs/>
          <w:kern w:val="20"/>
          <w:sz w:val="22"/>
          <w:szCs w:val="22"/>
        </w:rPr>
      </w:pPr>
    </w:p>
    <w:p w14:paraId="34C525DB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Dla zakresu objętego Projektem nie było współfinansowania z publicznych środków krajowych </w:t>
      </w:r>
      <w:r w:rsidRPr="005C29F3">
        <w:rPr>
          <w:kern w:val="20"/>
          <w:sz w:val="22"/>
          <w:szCs w:val="22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5C29F3">
        <w:rPr>
          <w:rStyle w:val="Odwoanieprzypisudolnego"/>
          <w:kern w:val="20"/>
          <w:sz w:val="22"/>
          <w:szCs w:val="22"/>
        </w:rPr>
        <w:footnoteReference w:id="5"/>
      </w:r>
    </w:p>
    <w:p w14:paraId="0A4A0FD0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Zakupione środki trwałe w ramach projektu będą wykorzystywane tylko dla celów związanych z Projektem.</w:t>
      </w:r>
    </w:p>
    <w:p w14:paraId="564D5C74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Zakupione środki trwałe na stałe zainstalowane w projekcie stanowiące część wydatków inwestycyjnych będą włączone w rejestr środków trwałych Wnioskodawcy zgodnie z zasadami rachunkowości.</w:t>
      </w:r>
    </w:p>
    <w:p w14:paraId="70E0A953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Żaden element projektu zadeklarowany jako wydatek kwalifikowalny</w:t>
      </w:r>
      <w:r w:rsidRPr="005C29F3">
        <w:rPr>
          <w:rStyle w:val="Odwoanieprzypisudolnego"/>
          <w:kern w:val="20"/>
          <w:sz w:val="22"/>
          <w:szCs w:val="22"/>
        </w:rPr>
        <w:footnoteReference w:id="6"/>
      </w:r>
      <w:r w:rsidRPr="005C29F3">
        <w:rPr>
          <w:kern w:val="20"/>
          <w:sz w:val="22"/>
          <w:szCs w:val="22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wyższej niż 100% wydatków kwalifikowalnych projektu lub jego części, np. w ramach innych projektów w </w:t>
      </w:r>
      <w:proofErr w:type="spellStart"/>
      <w:r w:rsidR="008F23D8" w:rsidRPr="005C29F3">
        <w:rPr>
          <w:kern w:val="20"/>
          <w:sz w:val="22"/>
          <w:szCs w:val="22"/>
        </w:rPr>
        <w:t>FENiKS</w:t>
      </w:r>
      <w:proofErr w:type="spellEnd"/>
      <w:r w:rsidRPr="005C29F3">
        <w:rPr>
          <w:kern w:val="20"/>
          <w:sz w:val="22"/>
          <w:szCs w:val="22"/>
        </w:rPr>
        <w:t xml:space="preserve"> lub innych programów operacyjnych.</w:t>
      </w:r>
    </w:p>
    <w:p w14:paraId="75CCD786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Wydatki poniesione </w:t>
      </w:r>
      <w:r w:rsidRPr="005C29F3">
        <w:rPr>
          <w:sz w:val="22"/>
          <w:szCs w:val="22"/>
        </w:rPr>
        <w:t xml:space="preserve">i planowane do poniesienia </w:t>
      </w:r>
      <w:r w:rsidRPr="005C29F3">
        <w:rPr>
          <w:kern w:val="20"/>
          <w:sz w:val="22"/>
          <w:szCs w:val="22"/>
        </w:rPr>
        <w:t>przez […</w:t>
      </w:r>
      <w:r w:rsidRPr="005C29F3">
        <w:rPr>
          <w:i/>
          <w:kern w:val="20"/>
          <w:sz w:val="22"/>
          <w:szCs w:val="22"/>
        </w:rPr>
        <w:t>podmiot upoważniony do ponoszenia wydatków</w:t>
      </w:r>
      <w:r w:rsidRPr="005C29F3">
        <w:rPr>
          <w:kern w:val="20"/>
          <w:sz w:val="22"/>
          <w:szCs w:val="22"/>
        </w:rPr>
        <w:t>…] zostały/</w:t>
      </w:r>
      <w:proofErr w:type="spellStart"/>
      <w:r w:rsidRPr="005C29F3">
        <w:rPr>
          <w:kern w:val="20"/>
          <w:sz w:val="22"/>
          <w:szCs w:val="22"/>
        </w:rPr>
        <w:t>ną</w:t>
      </w:r>
      <w:proofErr w:type="spellEnd"/>
      <w:r w:rsidRPr="005C29F3">
        <w:rPr>
          <w:kern w:val="20"/>
          <w:sz w:val="22"/>
          <w:szCs w:val="22"/>
        </w:rPr>
        <w:t xml:space="preserve"> poniesione zgodnie z zasadami kwalifikowania wydatków </w:t>
      </w:r>
      <w:r w:rsidRPr="005C29F3">
        <w:rPr>
          <w:kern w:val="20"/>
          <w:sz w:val="22"/>
          <w:szCs w:val="22"/>
        </w:rPr>
        <w:br/>
        <w:t>i Wnioskodawca przyjmuje na siebie odpowiedzialność za ich prawidłowość</w:t>
      </w:r>
      <w:r w:rsidRPr="005C29F3">
        <w:rPr>
          <w:rStyle w:val="Odwoanieprzypisudolnego"/>
          <w:kern w:val="20"/>
          <w:sz w:val="22"/>
          <w:szCs w:val="22"/>
        </w:rPr>
        <w:footnoteReference w:id="7"/>
      </w:r>
      <w:r w:rsidRPr="005C29F3">
        <w:rPr>
          <w:kern w:val="20"/>
          <w:sz w:val="22"/>
          <w:szCs w:val="22"/>
        </w:rPr>
        <w:t>.</w:t>
      </w:r>
      <w:r w:rsidRPr="005C29F3">
        <w:rPr>
          <w:rStyle w:val="Odwoanieprzypisudolnego"/>
          <w:kern w:val="20"/>
          <w:sz w:val="22"/>
          <w:szCs w:val="22"/>
        </w:rPr>
        <w:t xml:space="preserve"> </w:t>
      </w:r>
    </w:p>
    <w:p w14:paraId="4E7531FB" w14:textId="54F7BC3E" w:rsidR="00A828B2" w:rsidRPr="005C29F3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5C29F3">
        <w:rPr>
          <w:rFonts w:ascii="Times New Roman" w:eastAsia="Times New Roman" w:hAnsi="Times New Roman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5C29F3">
        <w:rPr>
          <w:rFonts w:ascii="Times New Roman" w:eastAsia="Times New Roman" w:hAnsi="Times New Roman"/>
          <w:lang w:eastAsia="pl-PL"/>
        </w:rPr>
        <w:br/>
        <w:t>w ramach projektu części poniesionego VAT, jeżeli zaistnieją przesłanki umożliwiające odzyskanie tego podatku przez Wnioskodawcę</w:t>
      </w:r>
      <w:r w:rsidRPr="005C29F3">
        <w:rPr>
          <w:rStyle w:val="Odwoanieprzypisudolnego"/>
          <w:rFonts w:ascii="Times New Roman" w:hAnsi="Times New Roman"/>
          <w:kern w:val="20"/>
        </w:rPr>
        <w:footnoteReference w:id="8"/>
      </w:r>
      <w:r w:rsidRPr="005C29F3">
        <w:rPr>
          <w:rFonts w:ascii="Times New Roman" w:eastAsia="Times New Roman" w:hAnsi="Times New Roman"/>
          <w:lang w:eastAsia="pl-PL"/>
        </w:rPr>
        <w:t>;</w:t>
      </w:r>
    </w:p>
    <w:p w14:paraId="010B3F3B" w14:textId="77777777" w:rsidR="00A828B2" w:rsidRPr="005C29F3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5C29F3">
        <w:rPr>
          <w:rFonts w:ascii="Times New Roman" w:hAnsi="Times New Roman"/>
          <w:color w:val="000000"/>
        </w:rPr>
        <w:t>W okresie:</w:t>
      </w:r>
    </w:p>
    <w:p w14:paraId="27857421" w14:textId="77777777" w:rsidR="00A828B2" w:rsidRPr="005C29F3" w:rsidRDefault="00A828B2" w:rsidP="00A828B2">
      <w:pPr>
        <w:pStyle w:val="Akapitzlist"/>
        <w:numPr>
          <w:ilvl w:val="0"/>
          <w:numId w:val="4"/>
        </w:numPr>
        <w:spacing w:after="24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5C29F3">
        <w:rPr>
          <w:rFonts w:ascii="Times New Roman" w:hAnsi="Times New Roman"/>
          <w:color w:val="000000"/>
        </w:rPr>
        <w:lastRenderedPageBreak/>
        <w:t>5 lat od płatności końcowej na rzecz Wnioskodawcy</w:t>
      </w:r>
      <w:r w:rsidRPr="005C29F3">
        <w:rPr>
          <w:rStyle w:val="Odwoanieprzypisudolnego"/>
          <w:rFonts w:ascii="Times New Roman" w:hAnsi="Times New Roman"/>
          <w:color w:val="000000"/>
        </w:rPr>
        <w:footnoteReference w:id="9"/>
      </w:r>
      <w:r w:rsidRPr="005C29F3">
        <w:rPr>
          <w:rFonts w:ascii="Times New Roman" w:hAnsi="Times New Roman"/>
          <w:color w:val="000000"/>
        </w:rPr>
        <w:t>:</w:t>
      </w:r>
    </w:p>
    <w:p w14:paraId="45C4EA95" w14:textId="77777777" w:rsidR="00A828B2" w:rsidRPr="005C29F3" w:rsidRDefault="00A828B2" w:rsidP="00A828B2">
      <w:pPr>
        <w:pStyle w:val="Default"/>
        <w:numPr>
          <w:ilvl w:val="0"/>
          <w:numId w:val="5"/>
        </w:numPr>
        <w:spacing w:after="240"/>
        <w:ind w:left="1418" w:hanging="284"/>
        <w:jc w:val="both"/>
        <w:rPr>
          <w:sz w:val="22"/>
          <w:szCs w:val="22"/>
        </w:rPr>
      </w:pPr>
      <w:r w:rsidRPr="005C29F3">
        <w:rPr>
          <w:sz w:val="22"/>
          <w:szCs w:val="22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5C29F3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  <w:color w:val="000000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5C29F3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  <w:color w:val="000000"/>
        </w:rPr>
        <w:t>nie dojdzie do istotnej zmiany wpływającej na charakter operacji, jej cele lub warunki wdrażania, która mogłaby doprowadzić do naruszenia jej pierwotnych celów.</w:t>
      </w:r>
    </w:p>
    <w:p w14:paraId="6278AAD4" w14:textId="77777777" w:rsidR="00A828B2" w:rsidRPr="005C29F3" w:rsidRDefault="00A828B2" w:rsidP="00A828B2">
      <w:pPr>
        <w:pStyle w:val="Akapitzlist"/>
        <w:numPr>
          <w:ilvl w:val="0"/>
          <w:numId w:val="4"/>
        </w:numPr>
        <w:spacing w:before="40" w:after="240"/>
        <w:ind w:left="709" w:hanging="283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  <w:color w:val="000000"/>
        </w:rPr>
        <w:t xml:space="preserve">10 lat od płatności końcowej lub w okresie wynikającym ze znajdujących zastosowanie </w:t>
      </w:r>
      <w:r w:rsidRPr="005C29F3">
        <w:rPr>
          <w:rFonts w:ascii="Times New Roman" w:hAnsi="Times New Roman"/>
          <w:color w:val="000000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0696A38C" w14:textId="50E0A3C6" w:rsidR="00BD10F4" w:rsidRPr="005C29F3" w:rsidRDefault="00BD10F4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</w:rPr>
        <w:t>Dokumentacja projektowa, w tym techniczna, jest kompletna, a wszystkie zawarte w niej informacje, zarówno we wniosku o dofinansowanie, jak i w załącznikach do wniosku, są spójne.</w:t>
      </w:r>
    </w:p>
    <w:p w14:paraId="34A9457C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Analiza Kosztów i Korzyści została przygotowana zgodnie z wytycznymi wskazanymi </w:t>
      </w:r>
      <w:r w:rsidRPr="005C29F3">
        <w:rPr>
          <w:kern w:val="20"/>
          <w:sz w:val="22"/>
          <w:szCs w:val="22"/>
        </w:rPr>
        <w:br/>
        <w:t xml:space="preserve">w Załączniku III do Rozporządzenia Wykonawczego Komisji (UE) 2015/207 z dnia 20 stycznia 2015 r. oraz Instrukcji sektorowej do wniosku o dofinansowanie. </w:t>
      </w:r>
    </w:p>
    <w:p w14:paraId="03A1CB90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trike/>
          <w:color w:val="FF0000"/>
          <w:kern w:val="20"/>
          <w:sz w:val="22"/>
          <w:szCs w:val="22"/>
        </w:rPr>
      </w:pPr>
      <w:r w:rsidRPr="005C29F3">
        <w:rPr>
          <w:sz w:val="22"/>
          <w:szCs w:val="22"/>
        </w:rPr>
        <w:t>Wnioskodawca posiada i stosuje procedury dotyczące:</w:t>
      </w:r>
    </w:p>
    <w:p w14:paraId="710B0FEE" w14:textId="77777777" w:rsidR="00A31C5E" w:rsidRPr="005C29F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5C29F3">
        <w:rPr>
          <w:sz w:val="22"/>
          <w:szCs w:val="22"/>
        </w:rPr>
        <w:t>zawierania umów dla zadań objętych projektem, do których stosuje się ustawę Prawo zamówień publicznych i/lub</w:t>
      </w:r>
    </w:p>
    <w:p w14:paraId="506F00C6" w14:textId="77777777" w:rsidR="00A31C5E" w:rsidRPr="005C29F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5C29F3">
        <w:rPr>
          <w:sz w:val="22"/>
          <w:szCs w:val="22"/>
        </w:rPr>
        <w:t>zawierania umów dla zadań objętych projektem, do których nie stosuje się ustawy Prawo zamówień publicznych;</w:t>
      </w:r>
    </w:p>
    <w:p w14:paraId="4D7D8851" w14:textId="77777777" w:rsidR="00A31C5E" w:rsidRPr="005C29F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5C29F3">
        <w:rPr>
          <w:sz w:val="22"/>
          <w:szCs w:val="22"/>
        </w:rPr>
        <w:t>weryfikacji, czy roboty, usługi i/lub dostawy, za które jest dokonywana płatność zostały rzeczywiście wykonane zgodnie z zawartą umową;</w:t>
      </w:r>
    </w:p>
    <w:p w14:paraId="63E363D7" w14:textId="57464B47" w:rsidR="00A31C5E" w:rsidRPr="005C29F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5C29F3">
        <w:rPr>
          <w:sz w:val="22"/>
          <w:szCs w:val="22"/>
        </w:rPr>
        <w:t xml:space="preserve">przygotowania wniosków o płatność, w tym zasad weryfikacji i poświadczania, czy wszystkie wydatki włączane do wniosku o płatność są zgodne z zasadami zawartymi w </w:t>
      </w:r>
      <w:r w:rsidRPr="005C29F3">
        <w:rPr>
          <w:i/>
          <w:sz w:val="22"/>
          <w:szCs w:val="22"/>
        </w:rPr>
        <w:t xml:space="preserve">Wytycznych w zakresie kwalifikowalności wydatków na lata 2021-2027 </w:t>
      </w:r>
      <w:r w:rsidRPr="005C29F3">
        <w:rPr>
          <w:sz w:val="22"/>
          <w:szCs w:val="22"/>
        </w:rPr>
        <w:t xml:space="preserve"> wydanych przez Ministra właściwego ds. rozwoju regionalnego;</w:t>
      </w:r>
    </w:p>
    <w:p w14:paraId="257A15D6" w14:textId="77777777" w:rsidR="00A31C5E" w:rsidRPr="005C29F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5C29F3">
        <w:rPr>
          <w:sz w:val="22"/>
          <w:szCs w:val="22"/>
        </w:rPr>
        <w:t xml:space="preserve">przechowywania, w sposób gwarantujący należyte bezpieczeństwo informacji, wszelkich danych </w:t>
      </w:r>
      <w:r w:rsidRPr="005C29F3">
        <w:rPr>
          <w:sz w:val="22"/>
          <w:szCs w:val="22"/>
        </w:rPr>
        <w:br/>
        <w:t xml:space="preserve">i dokumentów związanych z realizacją Projektu, w szczególności dokumentacji związanej </w:t>
      </w:r>
      <w:r w:rsidRPr="005C29F3">
        <w:rPr>
          <w:sz w:val="22"/>
          <w:szCs w:val="22"/>
        </w:rPr>
        <w:br/>
        <w:t xml:space="preserve">z zarządzeniem finansowym, merytorycznym, technicznym, procedurami zawierania umów </w:t>
      </w:r>
      <w:r w:rsidRPr="005C29F3">
        <w:rPr>
          <w:sz w:val="22"/>
          <w:szCs w:val="22"/>
        </w:rPr>
        <w:br/>
        <w:t>z wy</w:t>
      </w:r>
      <w:r w:rsidR="00C979F4" w:rsidRPr="005C29F3">
        <w:rPr>
          <w:sz w:val="22"/>
          <w:szCs w:val="22"/>
        </w:rPr>
        <w:t xml:space="preserve">konawcami, przez okres wskazany </w:t>
      </w:r>
      <w:r w:rsidRPr="005C29F3">
        <w:rPr>
          <w:sz w:val="22"/>
          <w:szCs w:val="22"/>
        </w:rPr>
        <w:t xml:space="preserve">w rozporządzeniu nr </w:t>
      </w:r>
      <w:r w:rsidR="00C979F4" w:rsidRPr="005C29F3">
        <w:rPr>
          <w:sz w:val="22"/>
          <w:szCs w:val="22"/>
        </w:rPr>
        <w:t>2021/1060</w:t>
      </w:r>
      <w:r w:rsidRPr="005C29F3">
        <w:rPr>
          <w:sz w:val="22"/>
          <w:szCs w:val="22"/>
        </w:rPr>
        <w:t xml:space="preserve">, tj. okres dwóch lat od dnia 31 grudnia następującego po złożeniu zestawienia wydatków do Komisji Europejskiej, w </w:t>
      </w:r>
      <w:r w:rsidRPr="005C29F3">
        <w:rPr>
          <w:sz w:val="22"/>
          <w:szCs w:val="22"/>
        </w:rPr>
        <w:lastRenderedPageBreak/>
        <w:t>którym ujęto ostateczne wydatki dotyczące zakończonego Projektu, z zastrzeżeniem konieczności dłuższego przechowywania dokumentów dla celów kontroli, zgodnie z art. 23 ust. 3 ustawy wdrożeniowej, w tym:</w:t>
      </w:r>
    </w:p>
    <w:p w14:paraId="57A46757" w14:textId="77777777" w:rsidR="00A31C5E" w:rsidRPr="005C29F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5C29F3">
        <w:rPr>
          <w:rFonts w:ascii="Times New Roman" w:hAnsi="Times New Roman"/>
        </w:rPr>
        <w:t xml:space="preserve">w przypadku Projektu, w którym występuje pomoc publiczna albo pomoc de minimis przez okres 10 lat od dnia udzielenia pomocy publicznej oraz przez okres 10 lat </w:t>
      </w:r>
      <w:r w:rsidRPr="005C29F3">
        <w:rPr>
          <w:rFonts w:ascii="Times New Roman" w:hAnsi="Times New Roman"/>
        </w:rPr>
        <w:br/>
        <w:t xml:space="preserve">od końca okresu obowiązywania aktu powierzenia świadczenia usług publicznych </w:t>
      </w:r>
      <w:r w:rsidRPr="005C29F3">
        <w:rPr>
          <w:rFonts w:ascii="Times New Roman" w:hAnsi="Times New Roman"/>
        </w:rPr>
        <w:br/>
        <w:t>w przypadku pomocy publicznej przyznanej w formie rekompensaty;</w:t>
      </w:r>
    </w:p>
    <w:p w14:paraId="591D6213" w14:textId="77777777" w:rsidR="00A31C5E" w:rsidRPr="005C29F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5C29F3">
        <w:rPr>
          <w:rFonts w:ascii="Times New Roman" w:hAnsi="Times New Roman"/>
        </w:rPr>
        <w:t xml:space="preserve">w przypadku dokumentów dotyczących zachowania trwałości Projektu przez 5 lat </w:t>
      </w:r>
      <w:r w:rsidRPr="005C29F3">
        <w:rPr>
          <w:rFonts w:ascii="Times New Roman" w:hAnsi="Times New Roman"/>
        </w:rPr>
        <w:br/>
        <w:t>od daty płatności końcowej na rzecz Wnioskodawcy, z zastrzeżeniem projektów objętych pomocą publiczną;</w:t>
      </w:r>
    </w:p>
    <w:p w14:paraId="57485B34" w14:textId="77777777" w:rsidR="00A31C5E" w:rsidRPr="005C29F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5C29F3">
        <w:rPr>
          <w:rFonts w:ascii="Times New Roman" w:hAnsi="Times New Roman"/>
        </w:rPr>
        <w:t xml:space="preserve">w przypadku dokumentów dotyczących rozliczenia podatku od towarów i usług przez okres nie krótszy niż dopuszczalny dla zmiany deklaracji VAT z uwzględnieniem okresu wskazanego </w:t>
      </w:r>
      <w:r w:rsidRPr="005C29F3">
        <w:rPr>
          <w:rFonts w:ascii="Times New Roman" w:hAnsi="Times New Roman"/>
        </w:rPr>
        <w:br/>
        <w:t xml:space="preserve">w </w:t>
      </w:r>
      <w:r w:rsidR="00C979F4" w:rsidRPr="005C29F3">
        <w:rPr>
          <w:rFonts w:ascii="Times New Roman" w:hAnsi="Times New Roman"/>
        </w:rPr>
        <w:t xml:space="preserve">rozporządzeniu nr 2021/1060 </w:t>
      </w:r>
      <w:r w:rsidRPr="005C29F3">
        <w:rPr>
          <w:rFonts w:ascii="Times New Roman" w:hAnsi="Times New Roman"/>
        </w:rPr>
        <w:t>(wskazanym powyżej).</w:t>
      </w:r>
    </w:p>
    <w:p w14:paraId="0DDFADBD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Wnioskodawca posiada odrębny system księgowy lub stosuje odpowiedni kod księgowy </w:t>
      </w:r>
      <w:r w:rsidRPr="005C29F3">
        <w:rPr>
          <w:kern w:val="20"/>
          <w:sz w:val="22"/>
          <w:szCs w:val="22"/>
        </w:rPr>
        <w:br/>
        <w:t>dla wszystkich operacji finansowych związanych z Projektem.</w:t>
      </w:r>
    </w:p>
    <w:p w14:paraId="5918E8F3" w14:textId="77777777" w:rsidR="00A31C5E" w:rsidRPr="005C29F3" w:rsidRDefault="00A31C5E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</w:rPr>
        <w:t xml:space="preserve">Wnioskodawca wyraża zgodę na poddanie się kontroli w zakresie i na zasadach określonych </w:t>
      </w:r>
      <w:r w:rsidRPr="005C29F3">
        <w:rPr>
          <w:rFonts w:ascii="Times New Roman" w:hAnsi="Times New Roman"/>
        </w:rPr>
        <w:br/>
        <w:t xml:space="preserve">w </w:t>
      </w:r>
      <w:r w:rsidRPr="00B45361">
        <w:rPr>
          <w:rFonts w:ascii="Times New Roman" w:hAnsi="Times New Roman"/>
        </w:rPr>
        <w:t>Rozdziale 7 „</w:t>
      </w:r>
      <w:r w:rsidR="00461C3F" w:rsidRPr="00B45361">
        <w:rPr>
          <w:rFonts w:ascii="Times New Roman" w:hAnsi="Times New Roman"/>
        </w:rPr>
        <w:t>Kontrola i nieprawidłowości</w:t>
      </w:r>
      <w:r w:rsidRPr="00B45361">
        <w:rPr>
          <w:rFonts w:ascii="Times New Roman" w:hAnsi="Times New Roman"/>
        </w:rPr>
        <w:t xml:space="preserve">” </w:t>
      </w:r>
      <w:r w:rsidR="00461C3F" w:rsidRPr="00B45361">
        <w:rPr>
          <w:rFonts w:ascii="Times New Roman" w:hAnsi="Times New Roman"/>
        </w:rPr>
        <w:t>ustawy z dnia 28 kwietnia 2022 r. o zasadach realizacji programów w zakresie polityki spójności finansowanych w perspektywie finansowej 2021-2027 (Dz. U. z 2022, poz. 1634  z późn.zm.).</w:t>
      </w:r>
      <w:r w:rsidR="00461C3F" w:rsidRPr="005C29F3">
        <w:rPr>
          <w:rFonts w:ascii="Times New Roman" w:hAnsi="Times New Roman"/>
        </w:rPr>
        <w:t xml:space="preserve"> </w:t>
      </w:r>
      <w:r w:rsidRPr="005C29F3">
        <w:rPr>
          <w:rFonts w:ascii="Times New Roman" w:hAnsi="Times New Roman"/>
        </w:rPr>
        <w:t>Wydatki poniesione w ramach projektu na dzień …(dd/mm/rrrr)… wynoszą […….PLN]</w:t>
      </w:r>
      <w:r w:rsidRPr="005C29F3">
        <w:rPr>
          <w:rStyle w:val="Odwoanieprzypisudolnego"/>
          <w:rFonts w:ascii="Times New Roman" w:hAnsi="Times New Roman"/>
        </w:rPr>
        <w:footnoteReference w:id="10"/>
      </w:r>
      <w:r w:rsidRPr="005C29F3">
        <w:rPr>
          <w:rFonts w:ascii="Times New Roman" w:hAnsi="Times New Roman"/>
        </w:rPr>
        <w:t xml:space="preserve"> i stanowią […………]% całkowitej kwoty wydatków kwalifikowalnych wskazanej we wniosku </w:t>
      </w:r>
      <w:r w:rsidRPr="005C29F3">
        <w:rPr>
          <w:rFonts w:ascii="Times New Roman" w:hAnsi="Times New Roman"/>
        </w:rPr>
        <w:br/>
        <w:t>o dofinansowanie.</w:t>
      </w:r>
    </w:p>
    <w:p w14:paraId="2BADA272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Wnioskodawca zobowiązuje się do terminowego działania w celu uzyskania zezwolenia </w:t>
      </w:r>
      <w:r w:rsidRPr="005C29F3">
        <w:rPr>
          <w:kern w:val="20"/>
          <w:sz w:val="22"/>
          <w:szCs w:val="22"/>
        </w:rPr>
        <w:br/>
        <w:t xml:space="preserve">na inwestycję (w rozumieniu dyrektywy </w:t>
      </w:r>
      <w:r w:rsidRPr="005C29F3">
        <w:rPr>
          <w:sz w:val="22"/>
          <w:szCs w:val="22"/>
        </w:rPr>
        <w:t xml:space="preserve">Parlamentu Europejskiego i Rady z dnia 13 grudnia 2011r. w sprawie oceny skutków wywieranych przez niektóre przedsięwzięcia publiczne </w:t>
      </w:r>
      <w:r w:rsidRPr="005C29F3">
        <w:rPr>
          <w:sz w:val="22"/>
          <w:szCs w:val="22"/>
        </w:rPr>
        <w:br/>
        <w:t xml:space="preserve">i prywatne na środowisko </w:t>
      </w:r>
      <w:r w:rsidRPr="005C29F3">
        <w:rPr>
          <w:kern w:val="20"/>
          <w:sz w:val="22"/>
          <w:szCs w:val="22"/>
        </w:rPr>
        <w:t>2011/92/UE) oraz do rozpoczęcia prac dopiero po uzyskaniu ww. zezwolenia.</w:t>
      </w:r>
      <w:r w:rsidRPr="005C29F3">
        <w:rPr>
          <w:rStyle w:val="Odwoanieprzypisudolnego"/>
          <w:kern w:val="20"/>
          <w:sz w:val="22"/>
          <w:szCs w:val="22"/>
        </w:rPr>
        <w:footnoteReference w:id="11"/>
      </w:r>
    </w:p>
    <w:p w14:paraId="3F3DC608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5C29F3">
        <w:rPr>
          <w:sz w:val="22"/>
          <w:szCs w:val="22"/>
        </w:rPr>
        <w:t xml:space="preserve">Raport o odziaływaniu przedsięwzięcia na środowisko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3FE2F9D9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5C29F3">
        <w:rPr>
          <w:sz w:val="22"/>
          <w:szCs w:val="22"/>
        </w:rPr>
        <w:lastRenderedPageBreak/>
        <w:t xml:space="preserve">Raport o odziaływaniu przedsięwzięcia na środowisko z ponownej oceny oddziaływania przedsięwzięcia na środowisko  przekazany w wersji elektronicznej stanowi kopię raportu będącego załącznikiem do wniosku </w:t>
      </w:r>
      <w:r w:rsidRPr="005C29F3">
        <w:rPr>
          <w:sz w:val="22"/>
          <w:szCs w:val="22"/>
        </w:rPr>
        <w:br/>
        <w:t xml:space="preserve">o wydanie decyzji o pozwoleniu na budowę / decyzji o zezwoleniu na realizację inwestycji drogowej ………………………………… (data i sygnatura wniosku oraz data i sygnatura decyzji, której raport dotyczy). </w:t>
      </w:r>
    </w:p>
    <w:p w14:paraId="7C27F2E3" w14:textId="3EC2D043" w:rsidR="00F11893" w:rsidRPr="005C29F3" w:rsidRDefault="00A31C5E" w:rsidP="005C29F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</w:rPr>
        <w:t>Zakres projektu na etapie decyzji o pozwoleniu na budowę/decyzji o zezwoleniu na realizację inwestycji drogowej po przeprowadzeniu ponownej oceny oddziaływani</w:t>
      </w:r>
      <w:r w:rsidR="00EC1EC2" w:rsidRPr="005C29F3">
        <w:rPr>
          <w:rFonts w:ascii="Times New Roman" w:hAnsi="Times New Roman"/>
        </w:rPr>
        <w:t>a przedsięwzięcia na środowisko</w:t>
      </w:r>
      <w:r w:rsidRPr="005C29F3">
        <w:rPr>
          <w:rFonts w:ascii="Times New Roman" w:hAnsi="Times New Roman"/>
        </w:rPr>
        <w:t xml:space="preserve"> mieści się w ramach określonych w art. 93 ustawy z dnia 3 października 2008 r. o udostępnianiu informacji o środowisku i jego ochronie, udziale społeczeństwa w ochronie środowiska oraz o ocenach oddziaływania na środowisko (z późn. zm.) i nie wykracza poza zakres określony w decyzji o środowiskowych </w:t>
      </w:r>
      <w:proofErr w:type="spellStart"/>
      <w:r w:rsidRPr="005C29F3">
        <w:rPr>
          <w:rFonts w:ascii="Times New Roman" w:hAnsi="Times New Roman"/>
        </w:rPr>
        <w:t>uwarunkowaniach.</w:t>
      </w:r>
      <w:r w:rsidR="00F11893" w:rsidRPr="005C29F3">
        <w:rPr>
          <w:rFonts w:ascii="Times New Roman" w:hAnsi="Times New Roman"/>
          <w:color w:val="000000"/>
          <w:lang w:eastAsia="pl-PL"/>
        </w:rPr>
        <w:t>Wnioskodawca</w:t>
      </w:r>
      <w:proofErr w:type="spellEnd"/>
      <w:r w:rsidR="00F11893" w:rsidRPr="005C29F3">
        <w:rPr>
          <w:rFonts w:ascii="Times New Roman" w:hAnsi="Times New Roman"/>
          <w:color w:val="000000"/>
          <w:lang w:eastAsia="pl-PL"/>
        </w:rPr>
        <w:t xml:space="preserve"> oświadcza że, w przypadku gdy w realizację projektu zaangażowane są inne podmioty (partnerzy, realizatorzy, podmioty reprezentujące) wykonał wobec tych podmiotów obowiązek informacyjny wynikający z przepisów rozporządzenia o ochronie danych osobowych nr 2016/679 z dnia 27 kwietnia 2016 r., o którym mowa w art. 13 ust. 1 i 2 oraz uzyskał zgodę na ich udział w badaniach ewaluacyjnych mających na celu ocenę procesu wdrażania Planu: </w:t>
      </w:r>
      <w:r w:rsidR="00F11893" w:rsidRPr="005C29F3">
        <w:rPr>
          <w:rFonts w:ascii="Times New Roman" w:hAnsi="Times New Roman"/>
          <w:b/>
          <w:color w:val="000000"/>
          <w:lang w:eastAsia="pl-PL"/>
        </w:rPr>
        <w:t>TAK/NIE</w:t>
      </w:r>
    </w:p>
    <w:p w14:paraId="3EE80C4F" w14:textId="1511E7A3" w:rsidR="00F27EAE" w:rsidRPr="005C29F3" w:rsidRDefault="00F11893" w:rsidP="005C29F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Wnioskodawca oświadcza, że zgodnie z art. 13 ust. 1 i 2 RODO</w:t>
      </w:r>
      <w:r w:rsidR="00F27EAE" w:rsidRPr="005C29F3">
        <w:rPr>
          <w:rStyle w:val="Odwoanieprzypisudolnego"/>
          <w:rFonts w:ascii="Times New Roman" w:hAnsi="Times New Roman"/>
          <w:color w:val="000000"/>
          <w:shd w:val="clear" w:color="auto" w:fill="FFFFFF"/>
        </w:rPr>
        <w:footnoteReference w:id="12"/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został poinformowany i przyjął do wiadomości, że:</w:t>
      </w:r>
    </w:p>
    <w:p w14:paraId="3657990F" w14:textId="003176E7" w:rsidR="00F27EAE" w:rsidRPr="007914B1" w:rsidRDefault="00530BA9" w:rsidP="007914B1">
      <w:pPr>
        <w:pStyle w:val="Akapitzlist"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914B1">
        <w:rPr>
          <w:color w:val="000000"/>
          <w:shd w:val="clear" w:color="auto" w:fill="FFFFFF"/>
        </w:rPr>
        <w:t xml:space="preserve"> </w:t>
      </w:r>
      <w:r w:rsidR="00F27EAE" w:rsidRPr="007914B1">
        <w:rPr>
          <w:rFonts w:ascii="Times New Roman" w:hAnsi="Times New Roman"/>
          <w:color w:val="000000"/>
          <w:shd w:val="clear" w:color="auto" w:fill="FFFFFF"/>
        </w:rPr>
        <w:t>odrębnymi administratorami danych osobowych są:</w:t>
      </w:r>
    </w:p>
    <w:p w14:paraId="6A35DEF1" w14:textId="1581BC89" w:rsidR="00192C18" w:rsidRPr="005C29F3" w:rsidRDefault="00F11893" w:rsidP="00BD1C2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Centrum Unijnych Projektów Transportowych</w:t>
      </w:r>
      <w:r w:rsidR="00F27EAE" w:rsidRPr="005C29F3">
        <w:rPr>
          <w:rFonts w:ascii="Times New Roman" w:hAnsi="Times New Roman"/>
          <w:color w:val="000000"/>
          <w:shd w:val="clear" w:color="auto" w:fill="FFFFFF"/>
        </w:rPr>
        <w:t xml:space="preserve"> w zakresie w jakim pełni funkcję Instytucji Pośredniczącej</w:t>
      </w:r>
      <w:r w:rsidR="00192C18" w:rsidRPr="005C29F3">
        <w:rPr>
          <w:rFonts w:ascii="Times New Roman" w:hAnsi="Times New Roman"/>
          <w:color w:val="000000"/>
          <w:shd w:val="clear" w:color="auto" w:fill="FFFFFF"/>
        </w:rPr>
        <w:t xml:space="preserve"> (IP) Funduszami Europejskimi na Infrastrukturę, Klimat i Środowisko 2021 – 2027 (FEnIKS 2021 – 2027)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. Z administratorem można skontaktować się drogą elektroniczną poprzez adres e-mail </w:t>
      </w:r>
      <w:hyperlink r:id="rId11" w:history="1">
        <w:r w:rsidRPr="005C29F3">
          <w:rPr>
            <w:rStyle w:val="Hipercze"/>
            <w:rFonts w:ascii="Times New Roman" w:hAnsi="Times New Roman"/>
            <w:shd w:val="clear" w:color="auto" w:fill="FFFFFF"/>
          </w:rPr>
          <w:t>cupt@cupt.gov.pl</w:t>
        </w:r>
      </w:hyperlink>
      <w:r w:rsidRPr="005C29F3">
        <w:rPr>
          <w:rFonts w:ascii="Times New Roman" w:hAnsi="Times New Roman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192C18" w:rsidRPr="005C29F3">
        <w:rPr>
          <w:rFonts w:ascii="Times New Roman" w:hAnsi="Times New Roman"/>
          <w:color w:val="000000"/>
          <w:shd w:val="clear" w:color="auto" w:fill="FFFFFF"/>
        </w:rPr>
        <w:t>,</w:t>
      </w:r>
    </w:p>
    <w:p w14:paraId="5F139A9A" w14:textId="2D2A9EA0" w:rsidR="00BD1C2A" w:rsidRPr="005C29F3" w:rsidRDefault="00192C18" w:rsidP="00BD1C2A">
      <w:pPr>
        <w:pStyle w:val="Akapitzlist"/>
        <w:numPr>
          <w:ilvl w:val="0"/>
          <w:numId w:val="23"/>
        </w:numPr>
        <w:shd w:val="clear" w:color="auto" w:fill="FFFFFF"/>
        <w:ind w:hanging="21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</w:t>
      </w:r>
      <w:r w:rsidR="00BD1C2A" w:rsidRPr="005C29F3">
        <w:rPr>
          <w:rFonts w:ascii="Times New Roman" w:hAnsi="Times New Roman"/>
          <w:color w:val="000000"/>
          <w:shd w:val="clear" w:color="auto" w:fill="FFFFFF"/>
        </w:rPr>
        <w:t>,</w:t>
      </w:r>
      <w:r w:rsidR="00F11893" w:rsidRPr="005C29F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2DCB1855" w14:textId="57142535" w:rsidR="00BD1C2A" w:rsidRPr="005C29F3" w:rsidRDefault="00192C18" w:rsidP="00BD1C2A">
      <w:pPr>
        <w:pStyle w:val="Akapitzlist"/>
        <w:numPr>
          <w:ilvl w:val="0"/>
          <w:numId w:val="31"/>
        </w:numPr>
        <w:shd w:val="clear" w:color="auto" w:fill="FFFFFF"/>
        <w:ind w:left="709" w:hanging="28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dane osobowe </w:t>
      </w:r>
      <w:proofErr w:type="spellStart"/>
      <w:r w:rsidRPr="005C29F3">
        <w:rPr>
          <w:rFonts w:ascii="Times New Roman" w:hAnsi="Times New Roman"/>
          <w:color w:val="000000"/>
          <w:shd w:val="clear" w:color="auto" w:fill="FFFFFF"/>
        </w:rPr>
        <w:t>przetwarzanę</w:t>
      </w:r>
      <w:proofErr w:type="spellEnd"/>
      <w:r w:rsidRPr="005C29F3">
        <w:rPr>
          <w:rFonts w:ascii="Times New Roman" w:hAnsi="Times New Roman"/>
          <w:color w:val="000000"/>
          <w:shd w:val="clear" w:color="auto" w:fill="FFFFFF"/>
        </w:rPr>
        <w:t xml:space="preserve"> będą w celu </w:t>
      </w:r>
      <w:r w:rsidR="00862163" w:rsidRPr="005C29F3">
        <w:rPr>
          <w:rFonts w:ascii="Times New Roman" w:hAnsi="Times New Roman"/>
          <w:color w:val="000000"/>
          <w:shd w:val="clear" w:color="auto" w:fill="FFFFFF"/>
        </w:rPr>
        <w:t>naboru i oceny wniosku o dofinansowanie w ramac</w:t>
      </w:r>
      <w:r w:rsidR="00BD1C2A" w:rsidRPr="005C29F3">
        <w:rPr>
          <w:rFonts w:ascii="Times New Roman" w:hAnsi="Times New Roman"/>
          <w:color w:val="000000"/>
          <w:shd w:val="clear" w:color="auto" w:fill="FFFFFF"/>
        </w:rPr>
        <w:t>h</w:t>
      </w:r>
      <w:r w:rsidR="00862163" w:rsidRPr="005C29F3">
        <w:rPr>
          <w:rFonts w:ascii="Times New Roman" w:hAnsi="Times New Roman"/>
          <w:color w:val="000000"/>
          <w:shd w:val="clear" w:color="auto" w:fill="FFFFFF"/>
        </w:rPr>
        <w:t xml:space="preserve"> FEnIKS 2021 – 2027.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Podanie danych osobowych jest dobrowolne, ale konieczne do realizacji ww. cel</w:t>
      </w:r>
      <w:r w:rsidR="00BD1C2A" w:rsidRPr="005C29F3">
        <w:rPr>
          <w:rFonts w:ascii="Times New Roman" w:hAnsi="Times New Roman"/>
          <w:color w:val="000000"/>
          <w:shd w:val="clear" w:color="auto" w:fill="FFFFFF"/>
        </w:rPr>
        <w:t>u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związan</w:t>
      </w:r>
      <w:r w:rsidR="00BD1C2A" w:rsidRPr="005C29F3">
        <w:rPr>
          <w:rFonts w:ascii="Times New Roman" w:hAnsi="Times New Roman"/>
          <w:color w:val="000000"/>
          <w:shd w:val="clear" w:color="auto" w:fill="FFFFFF"/>
        </w:rPr>
        <w:t>ego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z uzyskaniem dofinansowania przedsięwzięcia w ramach FEnIKS 2021-2027. Odmowa podania danych osobowych będzie równoznaczna z brakiem możliwości podjęcia stosownych działań</w:t>
      </w:r>
      <w:r w:rsidR="00BD1C2A" w:rsidRPr="005C29F3">
        <w:rPr>
          <w:rFonts w:ascii="Times New Roman" w:hAnsi="Times New Roman"/>
          <w:color w:val="000000"/>
          <w:shd w:val="clear" w:color="auto" w:fill="FFFFFF"/>
        </w:rPr>
        <w:t>,</w:t>
      </w:r>
    </w:p>
    <w:p w14:paraId="40D33B28" w14:textId="1FDD8D43" w:rsidR="00192C18" w:rsidRPr="005C29F3" w:rsidRDefault="00192C18" w:rsidP="00BD1C2A">
      <w:pPr>
        <w:pStyle w:val="Akapitzlist"/>
        <w:numPr>
          <w:ilvl w:val="0"/>
          <w:numId w:val="31"/>
        </w:numPr>
        <w:shd w:val="clear" w:color="auto" w:fill="FFFFFF"/>
        <w:ind w:left="709" w:hanging="28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F11893" w:rsidRPr="005C29F3">
        <w:rPr>
          <w:rFonts w:ascii="Times New Roman" w:hAnsi="Times New Roman"/>
          <w:color w:val="000000"/>
          <w:shd w:val="clear" w:color="auto" w:fill="FFFFFF"/>
        </w:rPr>
        <w:t xml:space="preserve">podstawą prawną przetwarzania danych osobowych jest obowiązek prawny ciążący na administratorze (art. 6 ust. 1 </w:t>
      </w:r>
      <w:proofErr w:type="spellStart"/>
      <w:r w:rsidR="00F11893" w:rsidRPr="005C29F3">
        <w:rPr>
          <w:rFonts w:ascii="Times New Roman" w:hAnsi="Times New Roman"/>
          <w:color w:val="000000"/>
          <w:shd w:val="clear" w:color="auto" w:fill="FFFFFF"/>
        </w:rPr>
        <w:t>lit.c</w:t>
      </w:r>
      <w:proofErr w:type="spellEnd"/>
      <w:r w:rsidR="00F11893" w:rsidRPr="005C29F3">
        <w:rPr>
          <w:rFonts w:ascii="Times New Roman" w:hAnsi="Times New Roman"/>
          <w:color w:val="000000"/>
          <w:shd w:val="clear" w:color="auto" w:fill="FFFFFF"/>
        </w:rPr>
        <w:t xml:space="preserve">) RODO) określony w: </w:t>
      </w:r>
    </w:p>
    <w:p w14:paraId="6A994C40" w14:textId="38D09C22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rozporządzeniu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60F3361" w14:textId="77777777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6032DAF1" w14:textId="77777777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rozporządzeniu Parlamentu Europejskiego i Rady (UE, Euratom) 2018/1046 z 18 lipca 2018 r. w sprawie zasad finansowych mających zastosowanie do budżetu ogólnego Unii, </w:t>
      </w:r>
      <w:r w:rsidRPr="005C29F3">
        <w:rPr>
          <w:rFonts w:ascii="Times New Roman" w:hAnsi="Times New Roman"/>
          <w:color w:val="000000"/>
          <w:shd w:val="clear" w:color="auto" w:fill="FFFFFF"/>
        </w:rPr>
        <w:lastRenderedPageBreak/>
        <w:t xml:space="preserve">zmieniające rozporządzenia (UE) nr 1296/2013, (UE) nr 1301/2013, (UE) nr 1303/2013, (UE) nr 1304/2013, (UE) nr 1309/2013, (UE) nr 1316/2013, (UE) nr 223/2014 i (UE) nr 283/2014 oraz decyzję nr 54/2014/UE, a także uchylające rozporządzenie UE, </w:t>
      </w:r>
      <w:proofErr w:type="spellStart"/>
      <w:r w:rsidRPr="005C29F3">
        <w:rPr>
          <w:rFonts w:ascii="Times New Roman" w:hAnsi="Times New Roman"/>
          <w:color w:val="000000"/>
          <w:shd w:val="clear" w:color="auto" w:fill="FFFFFF"/>
        </w:rPr>
        <w:t>Euroatom</w:t>
      </w:r>
      <w:proofErr w:type="spellEnd"/>
      <w:r w:rsidRPr="005C29F3">
        <w:rPr>
          <w:rFonts w:ascii="Times New Roman" w:hAnsi="Times New Roman"/>
          <w:color w:val="000000"/>
          <w:shd w:val="clear" w:color="auto" w:fill="FFFFFF"/>
        </w:rPr>
        <w:t xml:space="preserve">) nr 966/2012, </w:t>
      </w:r>
    </w:p>
    <w:p w14:paraId="1A062D10" w14:textId="77777777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ustawie z 28 kwietnia 2022 r. o zasadach realizacji zadań finansowanych ze środków europejskich w perspektywie finansowej 2021-2027 („ustawa wdrożeniowa”), </w:t>
      </w:r>
    </w:p>
    <w:p w14:paraId="79FB8CA9" w14:textId="77777777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ustawie z 14 czerwca 1960 r. - Kodeks postępowania administracyjnego,</w:t>
      </w:r>
    </w:p>
    <w:p w14:paraId="42502508" w14:textId="77777777" w:rsidR="00862163" w:rsidRPr="005C29F3" w:rsidRDefault="00862163" w:rsidP="00862163">
      <w:pPr>
        <w:pStyle w:val="Akapitzlist"/>
        <w:numPr>
          <w:ilvl w:val="0"/>
          <w:numId w:val="28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ustawie z 27 sierpnia 2009 r. o finansach publicznych.</w:t>
      </w:r>
    </w:p>
    <w:p w14:paraId="3F3DCD90" w14:textId="25E8AD42" w:rsidR="00C012F7" w:rsidRPr="00530BA9" w:rsidRDefault="00C012F7" w:rsidP="00530BA9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lang w:eastAsia="pl-PL"/>
        </w:rPr>
      </w:pPr>
    </w:p>
    <w:p w14:paraId="05F3A394" w14:textId="77777777" w:rsidR="00BD1C2A" w:rsidRPr="005C29F3" w:rsidRDefault="00BD1C2A" w:rsidP="007914B1">
      <w:pPr>
        <w:pStyle w:val="Akapitzlist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851" w:hanging="28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o</w:t>
      </w:r>
      <w:r w:rsidR="00F11893" w:rsidRPr="005C29F3">
        <w:rPr>
          <w:rFonts w:ascii="Times New Roman" w:hAnsi="Times New Roman"/>
          <w:color w:val="000000"/>
          <w:shd w:val="clear" w:color="auto" w:fill="FFFFFF"/>
        </w:rPr>
        <w:t>dbiorcami danych osobowych mogą być</w:t>
      </w:r>
      <w:r w:rsidR="00C012F7" w:rsidRPr="005C29F3">
        <w:rPr>
          <w:rFonts w:ascii="Times New Roman" w:hAnsi="Times New Roman"/>
          <w:color w:val="000000"/>
          <w:shd w:val="clear" w:color="auto" w:fill="FFFFFF"/>
        </w:rPr>
        <w:t xml:space="preserve">: </w:t>
      </w:r>
    </w:p>
    <w:p w14:paraId="1B4AC16F" w14:textId="0C2B7284" w:rsidR="00C012F7" w:rsidRPr="005C29F3" w:rsidRDefault="00C012F7" w:rsidP="00BD1C2A">
      <w:pPr>
        <w:pStyle w:val="Akapitzlist"/>
        <w:numPr>
          <w:ilvl w:val="0"/>
          <w:numId w:val="33"/>
        </w:numPr>
        <w:spacing w:after="0" w:line="240" w:lineRule="auto"/>
        <w:ind w:left="851" w:hanging="14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podmioty, w tym eksperci o których mowa w art. 80 ustawy wdrożeniowej, w którym zleciliśmy wykonywanie zadań w FEnIKS 2021 – 2027,</w:t>
      </w:r>
    </w:p>
    <w:p w14:paraId="1DEB6D8F" w14:textId="4F74DB68" w:rsidR="00C012F7" w:rsidRPr="005C29F3" w:rsidRDefault="00C012F7" w:rsidP="00BD1C2A">
      <w:pPr>
        <w:pStyle w:val="Akapitzlist"/>
        <w:numPr>
          <w:ilvl w:val="0"/>
          <w:numId w:val="33"/>
        </w:numPr>
        <w:spacing w:after="0" w:line="240" w:lineRule="auto"/>
        <w:ind w:left="851" w:hanging="14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Minister Funduszy i Polityki Regionalnej w zakresie jakim pełni funkcję Instytucji Zarządzającej FEnIKS 2021-2027,</w:t>
      </w:r>
    </w:p>
    <w:p w14:paraId="6BD6BD32" w14:textId="1D6BB1F3" w:rsidR="00C012F7" w:rsidRPr="005C29F3" w:rsidRDefault="00C012F7" w:rsidP="00BD1C2A">
      <w:pPr>
        <w:pStyle w:val="Akapitzlist"/>
        <w:numPr>
          <w:ilvl w:val="0"/>
          <w:numId w:val="33"/>
        </w:numPr>
        <w:spacing w:after="0" w:line="240" w:lineRule="auto"/>
        <w:ind w:left="851" w:hanging="14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instytucje Unii Europejskiej (UE), a także inne podmioty, którym UE powierzyła wykonywanie zadań związanych z wdrażaniem FEnIKS 2021-2027,</w:t>
      </w:r>
    </w:p>
    <w:p w14:paraId="2825147C" w14:textId="3D771F13" w:rsidR="00C012F7" w:rsidRPr="005C29F3" w:rsidRDefault="00C012F7" w:rsidP="00BD1C2A">
      <w:pPr>
        <w:pStyle w:val="Akapitzlist"/>
        <w:numPr>
          <w:ilvl w:val="0"/>
          <w:numId w:val="33"/>
        </w:numPr>
        <w:spacing w:after="0" w:line="240" w:lineRule="auto"/>
        <w:ind w:left="851" w:hanging="141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5C29F3">
        <w:rPr>
          <w:rFonts w:ascii="Times New Roman" w:hAnsi="Times New Roman"/>
          <w:color w:val="000000"/>
          <w:shd w:val="clear" w:color="auto" w:fill="FFFFFF"/>
        </w:rPr>
        <w:t>InstytucjaAudytowa</w:t>
      </w:r>
      <w:proofErr w:type="spellEnd"/>
      <w:r w:rsidRPr="005C29F3">
        <w:rPr>
          <w:rFonts w:ascii="Times New Roman" w:hAnsi="Times New Roman"/>
          <w:color w:val="000000"/>
          <w:shd w:val="clear" w:color="auto" w:fill="FFFFFF"/>
        </w:rPr>
        <w:t>, o której mowa w art. 71 rozporządzenia 2021/1060 z 24 czerwca 2021 r.,</w:t>
      </w:r>
    </w:p>
    <w:p w14:paraId="318FB37D" w14:textId="3186DE22" w:rsidR="00C012F7" w:rsidRPr="005C29F3" w:rsidRDefault="00C012F7" w:rsidP="00BD1C2A">
      <w:pPr>
        <w:pStyle w:val="Akapitzlist"/>
        <w:numPr>
          <w:ilvl w:val="0"/>
          <w:numId w:val="33"/>
        </w:numPr>
        <w:spacing w:after="0" w:line="240" w:lineRule="auto"/>
        <w:ind w:left="851" w:hanging="14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podmioty świadczące usługi, w tym związane z obsługą i rozwojem systemów teleinformatycznych oraz zapewnianiem łączności, w szczególności dostawcy rozwiązań IT i operatorzy telekomunikacyjni.</w:t>
      </w:r>
    </w:p>
    <w:p w14:paraId="714307B7" w14:textId="5E720A97" w:rsidR="00BD1C2A" w:rsidRPr="005C29F3" w:rsidRDefault="00BD1C2A" w:rsidP="00236F39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709" w:hanging="141"/>
        <w:jc w:val="both"/>
        <w:rPr>
          <w:rFonts w:ascii="Times New Roman" w:hAnsi="Times New Roman"/>
          <w:b/>
          <w:color w:val="000000"/>
          <w:lang w:eastAsia="pl-PL"/>
        </w:rPr>
      </w:pPr>
    </w:p>
    <w:p w14:paraId="389F9567" w14:textId="0E17BC0A" w:rsidR="00236F39" w:rsidRPr="005C29F3" w:rsidRDefault="00236F39" w:rsidP="00BD1C2A">
      <w:pPr>
        <w:pStyle w:val="Akapitzlist"/>
        <w:numPr>
          <w:ilvl w:val="0"/>
          <w:numId w:val="31"/>
        </w:numPr>
        <w:shd w:val="clear" w:color="auto" w:fill="FFFFFF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dane osobowe </w:t>
      </w:r>
      <w:r w:rsidR="00C012F7" w:rsidRPr="005C29F3">
        <w:rPr>
          <w:rFonts w:ascii="Times New Roman" w:hAnsi="Times New Roman"/>
          <w:color w:val="000000"/>
          <w:shd w:val="clear" w:color="auto" w:fill="FFFFFF"/>
        </w:rPr>
        <w:t xml:space="preserve">przechowywane będą </w:t>
      </w:r>
      <w:r w:rsidRPr="005C29F3">
        <w:rPr>
          <w:rFonts w:ascii="Times New Roman" w:hAnsi="Times New Roman"/>
          <w:color w:val="000000"/>
          <w:shd w:val="clear" w:color="auto" w:fill="FFFFFF"/>
        </w:rPr>
        <w:t>zgodnie z przepisami o narodowym zasobie archiwalnym i archiwach, przez okres realizacji porozumienia, w tym co najmniej przez okres 5 lat od 31 grudnia roku, w którym IP dokonała ostatniej płatności na rzecz beneficjenta z zastrzeżeniem przepisów, które mogą przewidywać dłuższy termin przeprowadzania kontroli, a ponadto przepisów dotyczących pomocy publicznej i pomocy de minimis oraz przepisów dotyczących podatku od towarów i usłu</w:t>
      </w:r>
      <w:r w:rsidR="00C012F7" w:rsidRPr="005C29F3">
        <w:rPr>
          <w:rFonts w:ascii="Times New Roman" w:hAnsi="Times New Roman"/>
          <w:color w:val="000000"/>
          <w:shd w:val="clear" w:color="auto" w:fill="FFFFFF"/>
        </w:rPr>
        <w:t>g,</w:t>
      </w:r>
    </w:p>
    <w:p w14:paraId="7BC41CAE" w14:textId="684803AA" w:rsidR="00236F39" w:rsidRPr="005C29F3" w:rsidRDefault="00F11893" w:rsidP="00BD1C2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 xml:space="preserve">osobie, której dane dotyczą przysługuje prawo dostępu do swoich danych, prawo ich sprostowania, prawo do </w:t>
      </w:r>
      <w:r w:rsidR="00236F39" w:rsidRPr="005C29F3">
        <w:rPr>
          <w:rFonts w:ascii="Times New Roman" w:hAnsi="Times New Roman"/>
          <w:color w:val="000000"/>
          <w:shd w:val="clear" w:color="auto" w:fill="FFFFFF"/>
        </w:rPr>
        <w:t>wniesienia sprzeciwu wobec przetwarzania swoich danych</w:t>
      </w:r>
      <w:r w:rsidRPr="005C29F3">
        <w:rPr>
          <w:rFonts w:ascii="Times New Roman" w:hAnsi="Times New Roman"/>
          <w:color w:val="000000"/>
          <w:shd w:val="clear" w:color="auto" w:fill="FFFFFF"/>
        </w:rPr>
        <w:t>, prawo do żądania ograniczenia przetwarzania, prawo do przenoszenia danych</w:t>
      </w:r>
      <w:r w:rsidR="00BB4C14" w:rsidRPr="005C29F3">
        <w:rPr>
          <w:rFonts w:ascii="Times New Roman" w:hAnsi="Times New Roman"/>
          <w:color w:val="000000"/>
          <w:shd w:val="clear" w:color="auto" w:fill="FFFFFF"/>
        </w:rPr>
        <w:t>,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1CDB0D4C" w14:textId="2DC1881F" w:rsidR="00236F39" w:rsidRPr="005C29F3" w:rsidRDefault="00F11893" w:rsidP="00BD1C2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osobie, której dane są przetwarzane ma prawo wniesienia skargi do organu nadzorczego, którym jest Prezes Urzędu Ochrony Danych Osobowych</w:t>
      </w:r>
      <w:r w:rsidR="00BB4C14" w:rsidRPr="005C29F3">
        <w:rPr>
          <w:rFonts w:ascii="Times New Roman" w:hAnsi="Times New Roman"/>
          <w:color w:val="000000"/>
          <w:shd w:val="clear" w:color="auto" w:fill="FFFFFF"/>
        </w:rPr>
        <w:t>;</w:t>
      </w:r>
      <w:r w:rsidRPr="005C29F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158679EC" w14:textId="356E2E7B" w:rsidR="00236F39" w:rsidRPr="005C29F3" w:rsidRDefault="00F11893" w:rsidP="00BD1C2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dane nie będą objęte procesem zautomatyzowanego podejmowania decyzji, w tym profilowania</w:t>
      </w:r>
      <w:r w:rsidR="00236F39" w:rsidRPr="005C29F3">
        <w:rPr>
          <w:rFonts w:ascii="Times New Roman" w:hAnsi="Times New Roman"/>
          <w:color w:val="000000"/>
          <w:shd w:val="clear" w:color="auto" w:fill="FFFFFF"/>
        </w:rPr>
        <w:t>;</w:t>
      </w:r>
    </w:p>
    <w:p w14:paraId="3921900F" w14:textId="0EE2FE85" w:rsidR="00236F39" w:rsidRPr="005C29F3" w:rsidRDefault="00BD1C2A" w:rsidP="00BD1C2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d</w:t>
      </w:r>
      <w:r w:rsidR="00236F39" w:rsidRPr="005C29F3">
        <w:rPr>
          <w:rFonts w:ascii="Times New Roman" w:hAnsi="Times New Roman"/>
          <w:color w:val="000000"/>
          <w:shd w:val="clear" w:color="auto" w:fill="FFFFFF"/>
        </w:rPr>
        <w:t>ane osobowe nie będą przekazywane do państwa trzeciego lub organizacji międzynarodowej innej niż Unia Europejska</w:t>
      </w:r>
      <w:r w:rsidR="00BB4C14" w:rsidRPr="005C29F3">
        <w:rPr>
          <w:rFonts w:ascii="Times New Roman" w:hAnsi="Times New Roman"/>
          <w:color w:val="000000"/>
          <w:shd w:val="clear" w:color="auto" w:fill="FFFFFF"/>
        </w:rPr>
        <w:t>;</w:t>
      </w:r>
    </w:p>
    <w:p w14:paraId="3EC81183" w14:textId="69C0A02B" w:rsidR="00236F39" w:rsidRPr="005C29F3" w:rsidRDefault="00BB4C14" w:rsidP="00BD1C2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hanging="218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k</w:t>
      </w:r>
      <w:r w:rsidR="00236F39" w:rsidRPr="005C29F3">
        <w:rPr>
          <w:rFonts w:ascii="Times New Roman" w:hAnsi="Times New Roman"/>
          <w:color w:val="000000"/>
          <w:shd w:val="clear" w:color="auto" w:fill="FFFFFF"/>
        </w:rPr>
        <w:t>ontakt z IOD jest możliwy w następujący sposób</w:t>
      </w:r>
      <w:r w:rsidRPr="005C29F3">
        <w:rPr>
          <w:rFonts w:ascii="Times New Roman" w:hAnsi="Times New Roman"/>
          <w:color w:val="000000"/>
          <w:shd w:val="clear" w:color="auto" w:fill="FFFFFF"/>
        </w:rPr>
        <w:t>:</w:t>
      </w:r>
    </w:p>
    <w:p w14:paraId="1E2F2C54" w14:textId="77777777" w:rsidR="00236F39" w:rsidRPr="005C29F3" w:rsidRDefault="00236F39" w:rsidP="00BD1C2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IOD CUPT:</w:t>
      </w:r>
    </w:p>
    <w:p w14:paraId="12C463F7" w14:textId="77777777" w:rsidR="00236F39" w:rsidRPr="005C29F3" w:rsidRDefault="00236F39" w:rsidP="00BD1C2A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pocztą tradycyjną kierując korespondencję na adres pl. Europejski 2, 00 – 844 Warszawa,</w:t>
      </w:r>
    </w:p>
    <w:p w14:paraId="133BBF38" w14:textId="77777777" w:rsidR="00236F39" w:rsidRPr="005C29F3" w:rsidRDefault="00236F39" w:rsidP="00BD1C2A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elektronicznie na adres e-mail: IOD@cupt.gov.pl</w:t>
      </w:r>
    </w:p>
    <w:p w14:paraId="76237B91" w14:textId="77777777" w:rsidR="00236F39" w:rsidRPr="005C29F3" w:rsidRDefault="00236F39" w:rsidP="00BD1C2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IOD MFiPR:</w:t>
      </w:r>
    </w:p>
    <w:p w14:paraId="4A485AAB" w14:textId="77777777" w:rsidR="00236F39" w:rsidRPr="005C29F3" w:rsidRDefault="00236F39" w:rsidP="00BD1C2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pocztą tradycyjną kierując korespondencję na adres ul. Wspólna 2/4 2, 00 – 926 Warszawa,</w:t>
      </w:r>
    </w:p>
    <w:p w14:paraId="54CB28AA" w14:textId="77777777" w:rsidR="00236F39" w:rsidRPr="005C29F3" w:rsidRDefault="00236F39" w:rsidP="00BD1C2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C29F3">
        <w:rPr>
          <w:rFonts w:ascii="Times New Roman" w:hAnsi="Times New Roman"/>
          <w:color w:val="000000"/>
          <w:shd w:val="clear" w:color="auto" w:fill="FFFFFF"/>
        </w:rPr>
        <w:t>elektronicznie na adres e-mail: IOD@mfipr.gov.pl</w:t>
      </w:r>
    </w:p>
    <w:p w14:paraId="1BDEB600" w14:textId="1B5F79E5" w:rsidR="00236F39" w:rsidRPr="005C29F3" w:rsidRDefault="00236F39" w:rsidP="00BD1C2A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lang w:eastAsia="pl-PL"/>
        </w:rPr>
      </w:pPr>
    </w:p>
    <w:p w14:paraId="239DDAE3" w14:textId="1A99DDCD" w:rsidR="00F11893" w:rsidRPr="005C29F3" w:rsidRDefault="00F11893" w:rsidP="00BD1C2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709" w:hanging="141"/>
        <w:jc w:val="both"/>
        <w:rPr>
          <w:rFonts w:ascii="Times New Roman" w:hAnsi="Times New Roman"/>
          <w:b/>
          <w:color w:val="000000"/>
          <w:lang w:eastAsia="pl-PL"/>
        </w:rPr>
      </w:pPr>
      <w:r w:rsidRPr="005C29F3">
        <w:rPr>
          <w:rFonts w:ascii="Times New Roman" w:hAnsi="Times New Roman"/>
          <w:b/>
          <w:color w:val="000000"/>
          <w:shd w:val="clear" w:color="auto" w:fill="FFFFFF"/>
        </w:rPr>
        <w:t>TAK/NIE</w:t>
      </w:r>
    </w:p>
    <w:p w14:paraId="78138F76" w14:textId="77777777" w:rsidR="00F11893" w:rsidRPr="005C29F3" w:rsidRDefault="00F11893" w:rsidP="00B45361">
      <w:pPr>
        <w:spacing w:after="240" w:line="276" w:lineRule="auto"/>
        <w:jc w:val="both"/>
        <w:rPr>
          <w:sz w:val="22"/>
          <w:szCs w:val="22"/>
        </w:rPr>
      </w:pPr>
    </w:p>
    <w:p w14:paraId="615A96E6" w14:textId="77777777" w:rsidR="00A31C5E" w:rsidRPr="005C29F3" w:rsidRDefault="00A31C5E" w:rsidP="00A31C5E">
      <w:pPr>
        <w:spacing w:after="240" w:line="276" w:lineRule="auto"/>
        <w:ind w:left="360"/>
        <w:jc w:val="both"/>
        <w:rPr>
          <w:kern w:val="20"/>
          <w:sz w:val="22"/>
          <w:szCs w:val="22"/>
        </w:rPr>
      </w:pPr>
    </w:p>
    <w:p w14:paraId="0B53C6E3" w14:textId="0CD3AA14" w:rsidR="00A828B2" w:rsidRDefault="00A828B2" w:rsidP="00A828B2"/>
    <w:sectPr w:rsidR="00A8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BDD2" w14:textId="77777777" w:rsidR="00F32382" w:rsidRDefault="00F32382" w:rsidP="00CF7D1B">
      <w:r>
        <w:separator/>
      </w:r>
    </w:p>
  </w:endnote>
  <w:endnote w:type="continuationSeparator" w:id="0">
    <w:p w14:paraId="07B22799" w14:textId="77777777" w:rsidR="00F32382" w:rsidRDefault="00F32382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98D35" w14:textId="77777777" w:rsidR="00F32382" w:rsidRDefault="00F32382" w:rsidP="00CF7D1B">
      <w:r>
        <w:separator/>
      </w:r>
    </w:p>
  </w:footnote>
  <w:footnote w:type="continuationSeparator" w:id="0">
    <w:p w14:paraId="5EDBE3C5" w14:textId="77777777" w:rsidR="00F32382" w:rsidRDefault="00F32382" w:rsidP="00CF7D1B">
      <w:r>
        <w:continuationSeparator/>
      </w:r>
    </w:p>
  </w:footnote>
  <w:footnote w:id="1">
    <w:p w14:paraId="784A031A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716FF0">
        <w:rPr>
          <w:i/>
          <w:sz w:val="16"/>
          <w:szCs w:val="16"/>
        </w:rPr>
        <w:t>Wytycznych w zakresie kwalifikowalności wydatków w ramach Europejskiego Funduszu Rozwoju Regionalnego, Europejskiego Funduszu Społecznego oraz</w:t>
      </w:r>
      <w:r>
        <w:rPr>
          <w:i/>
          <w:sz w:val="16"/>
          <w:szCs w:val="16"/>
        </w:rPr>
        <w:t xml:space="preserve"> Funduszu Spójności na lata </w:t>
      </w:r>
      <w:r w:rsidRPr="008C01FA">
        <w:rPr>
          <w:i/>
          <w:sz w:val="16"/>
          <w:szCs w:val="16"/>
        </w:rPr>
        <w:t xml:space="preserve">2021-2027 </w:t>
      </w:r>
      <w:r w:rsidRPr="00716FF0">
        <w:rPr>
          <w:sz w:val="16"/>
          <w:szCs w:val="16"/>
        </w:rPr>
        <w:t>,</w:t>
      </w:r>
      <w:r w:rsidRPr="00842DB2">
        <w:rPr>
          <w:sz w:val="16"/>
          <w:szCs w:val="16"/>
        </w:rPr>
        <w:t xml:space="preserve"> który kwalifikuje się do refundacji lub rozliczenia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 xml:space="preserve">(w przypadku systemu zaliczkowego) ze środków przeznaczonych ma realizację </w:t>
      </w:r>
      <w:r w:rsidRPr="008C01FA">
        <w:rPr>
          <w:sz w:val="16"/>
          <w:szCs w:val="16"/>
        </w:rPr>
        <w:t>FEnIKS</w:t>
      </w:r>
      <w:r w:rsidRPr="00842DB2">
        <w:rPr>
          <w:sz w:val="16"/>
          <w:szCs w:val="16"/>
        </w:rPr>
        <w:t>.</w:t>
      </w:r>
    </w:p>
  </w:footnote>
  <w:footnote w:id="3">
    <w:p w14:paraId="45E4FAB0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5F77A6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>ny. Jeżeli Beneficjent upoważnił inny podmiot/ inne podmioty do ponoszenia wydatków kwalifikowalnych, oświadczenie należy złożyć w odniesieniu do każdego podmiotu</w:t>
      </w:r>
      <w:r>
        <w:rPr>
          <w:sz w:val="16"/>
          <w:szCs w:val="16"/>
        </w:rPr>
        <w:t>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C67">
        <w:rPr>
          <w:rStyle w:val="Odwoanieprzypisudolnego"/>
          <w:sz w:val="16"/>
          <w:szCs w:val="16"/>
        </w:rPr>
        <w:footnoteRef/>
      </w:r>
      <w:r w:rsidRPr="006C4C67">
        <w:rPr>
          <w:sz w:val="16"/>
          <w:szCs w:val="16"/>
        </w:rPr>
        <w:t xml:space="preserve"> Zgodnie</w:t>
      </w:r>
      <w:r w:rsidRPr="00781E9D">
        <w:rPr>
          <w:sz w:val="16"/>
          <w:szCs w:val="16"/>
        </w:rPr>
        <w:t xml:space="preserve"> z </w:t>
      </w:r>
      <w:r w:rsidR="00C979F4" w:rsidRPr="00781E9D">
        <w:rPr>
          <w:sz w:val="16"/>
          <w:szCs w:val="16"/>
        </w:rPr>
        <w:t>artykułem 65</w:t>
      </w:r>
      <w:r w:rsidRPr="00781E9D">
        <w:rPr>
          <w:sz w:val="16"/>
          <w:szCs w:val="16"/>
        </w:rPr>
        <w:t xml:space="preserve"> </w:t>
      </w:r>
      <w:r w:rsidR="00C979F4" w:rsidRPr="00781E9D">
        <w:rPr>
          <w:sz w:val="16"/>
        </w:rPr>
        <w:t xml:space="preserve">rozporządzenia Parlamentu Europejskiego i Rady (UE) nr 2021/1060 z dnia 24 czerwca 2021 r. ustanawiającego wspólne przepisy </w:t>
      </w:r>
      <w:r w:rsidR="00C979F4" w:rsidRPr="00C979F4">
        <w:rPr>
          <w:sz w:val="16"/>
        </w:rPr>
        <w:t xml:space="preserve">dotyczące </w:t>
      </w:r>
      <w:r w:rsidR="00C979F4" w:rsidRPr="00C979F4">
        <w:rPr>
          <w:sz w:val="16"/>
          <w:szCs w:val="22"/>
        </w:rPr>
        <w:t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</w:t>
      </w:r>
      <w:bookmarkStart w:id="0" w:name="_GoBack"/>
      <w:bookmarkEnd w:id="0"/>
      <w:r w:rsidR="00C979F4" w:rsidRPr="00C979F4">
        <w:rPr>
          <w:sz w:val="16"/>
          <w:szCs w:val="22"/>
        </w:rPr>
        <w:t>z Zarządzania Granicami i Polityki Wizowej (Dz. Urz. UE L 231 z 30.06.2021, str. 159, z późn. zm.)</w:t>
      </w:r>
    </w:p>
  </w:footnote>
  <w:footnote w:id="10">
    <w:p w14:paraId="003093DD" w14:textId="77777777" w:rsidR="00A31C5E" w:rsidRPr="00842DB2" w:rsidRDefault="00A31C5E" w:rsidP="00A31C5E">
      <w:pPr>
        <w:pStyle w:val="Tekstprzypisudolnego"/>
        <w:jc w:val="both"/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rStyle w:val="Odwoanieprzypisudolnego"/>
          <w:sz w:val="16"/>
          <w:szCs w:val="16"/>
        </w:rPr>
        <w:t xml:space="preserve"> </w:t>
      </w:r>
      <w:r w:rsidRPr="00842DB2">
        <w:rPr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77777777" w:rsidR="00A31C5E" w:rsidRPr="00842DB2" w:rsidRDefault="00A31C5E" w:rsidP="00A31C5E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  <w:footnote w:id="12">
    <w:p w14:paraId="4327A89D" w14:textId="68950359" w:rsidR="00F27EAE" w:rsidRPr="00F27EAE" w:rsidRDefault="00F27EAE">
      <w:pPr>
        <w:pStyle w:val="Tekstprzypisudolnego"/>
        <w:rPr>
          <w:sz w:val="16"/>
          <w:szCs w:val="16"/>
        </w:rPr>
      </w:pPr>
      <w:r w:rsidRPr="00F27EAE">
        <w:rPr>
          <w:rStyle w:val="Odwoanieprzypisudolnego"/>
          <w:sz w:val="16"/>
          <w:szCs w:val="16"/>
        </w:rPr>
        <w:footnoteRef/>
      </w:r>
      <w:r w:rsidRPr="00F27EAE">
        <w:rPr>
          <w:sz w:val="16"/>
          <w:szCs w:val="16"/>
        </w:rPr>
        <w:t xml:space="preserve"> </w:t>
      </w:r>
      <w:r w:rsidRPr="00F27EAE">
        <w:rPr>
          <w:color w:val="000000"/>
          <w:sz w:val="16"/>
          <w:szCs w:val="16"/>
          <w:shd w:val="clear" w:color="auto" w:fill="FFFFFF"/>
        </w:rPr>
        <w:t>Rozporządzeni</w:t>
      </w:r>
      <w:r w:rsidR="00862163">
        <w:rPr>
          <w:color w:val="000000"/>
          <w:sz w:val="16"/>
          <w:szCs w:val="16"/>
          <w:shd w:val="clear" w:color="auto" w:fill="FFFFFF"/>
        </w:rPr>
        <w:t>e</w:t>
      </w:r>
      <w:r w:rsidRPr="00F27EAE">
        <w:rPr>
          <w:color w:val="000000"/>
          <w:sz w:val="16"/>
          <w:szCs w:val="16"/>
          <w:shd w:val="clear" w:color="auto" w:fill="FFFFFF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9F60B2CA"/>
    <w:lvl w:ilvl="0" w:tplc="586EF12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0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1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8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1"/>
  </w:num>
  <w:num w:numId="4">
    <w:abstractNumId w:val="6"/>
  </w:num>
  <w:num w:numId="5">
    <w:abstractNumId w:val="3"/>
  </w:num>
  <w:num w:numId="6">
    <w:abstractNumId w:val="14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9"/>
  </w:num>
  <w:num w:numId="10">
    <w:abstractNumId w:val="26"/>
  </w:num>
  <w:num w:numId="11">
    <w:abstractNumId w:val="4"/>
  </w:num>
  <w:num w:numId="12">
    <w:abstractNumId w:val="12"/>
  </w:num>
  <w:num w:numId="13">
    <w:abstractNumId w:val="21"/>
  </w:num>
  <w:num w:numId="14">
    <w:abstractNumId w:val="25"/>
  </w:num>
  <w:num w:numId="15">
    <w:abstractNumId w:val="23"/>
  </w:num>
  <w:num w:numId="16">
    <w:abstractNumId w:val="7"/>
  </w:num>
  <w:num w:numId="17">
    <w:abstractNumId w:val="28"/>
  </w:num>
  <w:num w:numId="18">
    <w:abstractNumId w:val="29"/>
  </w:num>
  <w:num w:numId="19">
    <w:abstractNumId w:val="18"/>
  </w:num>
  <w:num w:numId="20">
    <w:abstractNumId w:val="8"/>
  </w:num>
  <w:num w:numId="21">
    <w:abstractNumId w:val="17"/>
  </w:num>
  <w:num w:numId="22">
    <w:abstractNumId w:val="35"/>
  </w:num>
  <w:num w:numId="23">
    <w:abstractNumId w:val="10"/>
  </w:num>
  <w:num w:numId="24">
    <w:abstractNumId w:val="15"/>
  </w:num>
  <w:num w:numId="25">
    <w:abstractNumId w:val="9"/>
  </w:num>
  <w:num w:numId="26">
    <w:abstractNumId w:val="27"/>
  </w:num>
  <w:num w:numId="27">
    <w:abstractNumId w:val="20"/>
  </w:num>
  <w:num w:numId="28">
    <w:abstractNumId w:val="13"/>
  </w:num>
  <w:num w:numId="29">
    <w:abstractNumId w:val="16"/>
  </w:num>
  <w:num w:numId="30">
    <w:abstractNumId w:val="11"/>
  </w:num>
  <w:num w:numId="31">
    <w:abstractNumId w:val="33"/>
  </w:num>
  <w:num w:numId="32">
    <w:abstractNumId w:val="1"/>
  </w:num>
  <w:num w:numId="33">
    <w:abstractNumId w:val="24"/>
  </w:num>
  <w:num w:numId="34">
    <w:abstractNumId w:val="30"/>
  </w:num>
  <w:num w:numId="35">
    <w:abstractNumId w:val="32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6"/>
    <w:rsid w:val="00047D8D"/>
    <w:rsid w:val="000A5146"/>
    <w:rsid w:val="000F7492"/>
    <w:rsid w:val="00100A94"/>
    <w:rsid w:val="00143706"/>
    <w:rsid w:val="001701B4"/>
    <w:rsid w:val="00192C18"/>
    <w:rsid w:val="00236F39"/>
    <w:rsid w:val="002416CA"/>
    <w:rsid w:val="00297BFA"/>
    <w:rsid w:val="00372C5B"/>
    <w:rsid w:val="00417ACA"/>
    <w:rsid w:val="00440553"/>
    <w:rsid w:val="00461C3F"/>
    <w:rsid w:val="004624EC"/>
    <w:rsid w:val="004D4B17"/>
    <w:rsid w:val="004F072E"/>
    <w:rsid w:val="0051079E"/>
    <w:rsid w:val="00530BA9"/>
    <w:rsid w:val="005A2262"/>
    <w:rsid w:val="005C29F3"/>
    <w:rsid w:val="00661D77"/>
    <w:rsid w:val="007704E5"/>
    <w:rsid w:val="00781E9D"/>
    <w:rsid w:val="007914B1"/>
    <w:rsid w:val="007C7928"/>
    <w:rsid w:val="00803503"/>
    <w:rsid w:val="00837E67"/>
    <w:rsid w:val="0084177F"/>
    <w:rsid w:val="00857A5E"/>
    <w:rsid w:val="00862163"/>
    <w:rsid w:val="008B381E"/>
    <w:rsid w:val="008C01FA"/>
    <w:rsid w:val="008F23D8"/>
    <w:rsid w:val="00915CFD"/>
    <w:rsid w:val="00953B3B"/>
    <w:rsid w:val="009D2E8B"/>
    <w:rsid w:val="00A31C5E"/>
    <w:rsid w:val="00A34623"/>
    <w:rsid w:val="00A54AE6"/>
    <w:rsid w:val="00A828B2"/>
    <w:rsid w:val="00AD12F5"/>
    <w:rsid w:val="00B43746"/>
    <w:rsid w:val="00B45361"/>
    <w:rsid w:val="00BB4C14"/>
    <w:rsid w:val="00BB51CD"/>
    <w:rsid w:val="00BD10F4"/>
    <w:rsid w:val="00BD1C2A"/>
    <w:rsid w:val="00BE1B81"/>
    <w:rsid w:val="00C012F7"/>
    <w:rsid w:val="00C271BE"/>
    <w:rsid w:val="00C53317"/>
    <w:rsid w:val="00C979F4"/>
    <w:rsid w:val="00CF7D1B"/>
    <w:rsid w:val="00D4703A"/>
    <w:rsid w:val="00DB774E"/>
    <w:rsid w:val="00DD5A0B"/>
    <w:rsid w:val="00EC1EC2"/>
    <w:rsid w:val="00F11893"/>
    <w:rsid w:val="00F23382"/>
    <w:rsid w:val="00F27EAE"/>
    <w:rsid w:val="00F32382"/>
    <w:rsid w:val="00F34CD7"/>
    <w:rsid w:val="00F4253D"/>
    <w:rsid w:val="00F52C04"/>
    <w:rsid w:val="00F53B58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pt@cup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13DE2-5E88-442B-B26B-BA70D00F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153DE-E59C-425F-99B2-296F2477CB2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B913C8-8F35-4659-B66F-9BF25FE6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3035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Katarzyna Piwońska</cp:lastModifiedBy>
  <cp:revision>3</cp:revision>
  <dcterms:created xsi:type="dcterms:W3CDTF">2025-09-02T09:42:00Z</dcterms:created>
  <dcterms:modified xsi:type="dcterms:W3CDTF">2025-09-05T08:20:00Z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