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68D5A" w14:textId="0BDE8C84" w:rsidR="005D2C77" w:rsidRPr="00253EB3" w:rsidRDefault="005449FF" w:rsidP="00253EB3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53EB3">
        <w:rPr>
          <w:rFonts w:asciiTheme="minorHAnsi" w:hAnsiTheme="minorHAnsi" w:cstheme="minorHAnsi"/>
          <w:b/>
          <w:sz w:val="28"/>
          <w:szCs w:val="22"/>
        </w:rPr>
        <w:t xml:space="preserve">Zalecenia do sporządzenia </w:t>
      </w:r>
      <w:r w:rsidR="00954719" w:rsidRPr="00253EB3">
        <w:rPr>
          <w:rFonts w:asciiTheme="minorHAnsi" w:hAnsiTheme="minorHAnsi" w:cstheme="minorHAnsi"/>
          <w:b/>
          <w:sz w:val="28"/>
          <w:szCs w:val="22"/>
        </w:rPr>
        <w:t xml:space="preserve">raportu końcowego </w:t>
      </w:r>
      <w:r w:rsidRPr="00253EB3">
        <w:rPr>
          <w:rFonts w:asciiTheme="minorHAnsi" w:eastAsiaTheme="minorHAnsi" w:hAnsiTheme="minorHAnsi" w:cstheme="minorHAnsi"/>
          <w:b/>
          <w:color w:val="000000"/>
          <w:sz w:val="28"/>
          <w:szCs w:val="22"/>
          <w:lang w:eastAsia="en-US"/>
        </w:rPr>
        <w:t xml:space="preserve">potwierdzającego </w:t>
      </w:r>
      <w:r w:rsidR="00253EB3">
        <w:rPr>
          <w:rFonts w:asciiTheme="minorHAnsi" w:eastAsiaTheme="minorHAnsi" w:hAnsiTheme="minorHAnsi" w:cstheme="minorHAnsi"/>
          <w:b/>
          <w:color w:val="000000"/>
          <w:sz w:val="28"/>
          <w:szCs w:val="22"/>
          <w:lang w:eastAsia="en-US"/>
        </w:rPr>
        <w:br/>
      </w:r>
      <w:r w:rsidRPr="00253EB3">
        <w:rPr>
          <w:rFonts w:asciiTheme="minorHAnsi" w:eastAsiaTheme="minorHAnsi" w:hAnsiTheme="minorHAnsi" w:cstheme="minorHAnsi"/>
          <w:b/>
          <w:color w:val="000000"/>
          <w:sz w:val="28"/>
          <w:szCs w:val="22"/>
          <w:lang w:eastAsia="en-US"/>
        </w:rPr>
        <w:t xml:space="preserve">realizację Przedsięwzięcia zgodnie z zasadą „nie czyń poważnych szkód”, </w:t>
      </w:r>
      <w:r w:rsidR="00253EB3">
        <w:rPr>
          <w:rFonts w:asciiTheme="minorHAnsi" w:eastAsiaTheme="minorHAnsi" w:hAnsiTheme="minorHAnsi" w:cstheme="minorHAnsi"/>
          <w:b/>
          <w:color w:val="000000"/>
          <w:sz w:val="28"/>
          <w:szCs w:val="22"/>
          <w:lang w:eastAsia="en-US"/>
        </w:rPr>
        <w:br/>
      </w:r>
      <w:r w:rsidRPr="00253EB3">
        <w:rPr>
          <w:rFonts w:asciiTheme="minorHAnsi" w:eastAsiaTheme="minorHAnsi" w:hAnsiTheme="minorHAnsi" w:cstheme="minorHAnsi"/>
          <w:b/>
          <w:color w:val="000000"/>
          <w:sz w:val="28"/>
          <w:szCs w:val="22"/>
          <w:lang w:eastAsia="en-US"/>
        </w:rPr>
        <w:t>o którym mowa w p</w:t>
      </w:r>
      <w:r w:rsidRPr="00253EB3">
        <w:rPr>
          <w:rFonts w:asciiTheme="minorHAnsi" w:hAnsiTheme="minorHAnsi" w:cstheme="minorHAnsi"/>
          <w:b/>
          <w:sz w:val="28"/>
          <w:szCs w:val="22"/>
        </w:rPr>
        <w:t xml:space="preserve">ar 4c Umowy o </w:t>
      </w:r>
      <w:r w:rsidR="00253EB3">
        <w:rPr>
          <w:rFonts w:asciiTheme="minorHAnsi" w:hAnsiTheme="minorHAnsi" w:cstheme="minorHAnsi"/>
          <w:b/>
          <w:sz w:val="28"/>
          <w:szCs w:val="22"/>
        </w:rPr>
        <w:t>O</w:t>
      </w:r>
      <w:r w:rsidRPr="00253EB3">
        <w:rPr>
          <w:rFonts w:asciiTheme="minorHAnsi" w:hAnsiTheme="minorHAnsi" w:cstheme="minorHAnsi"/>
          <w:b/>
          <w:sz w:val="28"/>
          <w:szCs w:val="22"/>
        </w:rPr>
        <w:t xml:space="preserve">bjęcie </w:t>
      </w:r>
      <w:r w:rsidR="00253EB3">
        <w:rPr>
          <w:rFonts w:asciiTheme="minorHAnsi" w:hAnsiTheme="minorHAnsi" w:cstheme="minorHAnsi"/>
          <w:b/>
          <w:sz w:val="28"/>
          <w:szCs w:val="22"/>
        </w:rPr>
        <w:t>P</w:t>
      </w:r>
      <w:r w:rsidRPr="00253EB3">
        <w:rPr>
          <w:rFonts w:asciiTheme="minorHAnsi" w:hAnsiTheme="minorHAnsi" w:cstheme="minorHAnsi"/>
          <w:b/>
          <w:sz w:val="28"/>
          <w:szCs w:val="22"/>
        </w:rPr>
        <w:t xml:space="preserve">rzedsięwzięcia </w:t>
      </w:r>
      <w:r w:rsidR="00253EB3">
        <w:rPr>
          <w:rFonts w:asciiTheme="minorHAnsi" w:hAnsiTheme="minorHAnsi" w:cstheme="minorHAnsi"/>
          <w:b/>
          <w:sz w:val="28"/>
          <w:szCs w:val="22"/>
        </w:rPr>
        <w:t>W</w:t>
      </w:r>
      <w:r w:rsidRPr="00253EB3">
        <w:rPr>
          <w:rFonts w:asciiTheme="minorHAnsi" w:hAnsiTheme="minorHAnsi" w:cstheme="minorHAnsi"/>
          <w:b/>
          <w:sz w:val="28"/>
          <w:szCs w:val="22"/>
        </w:rPr>
        <w:t>sparciem</w:t>
      </w:r>
    </w:p>
    <w:p w14:paraId="43799F6B" w14:textId="77777777" w:rsidR="00D36868" w:rsidRPr="00BC0E80" w:rsidRDefault="00D36868" w:rsidP="00D3686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i/>
          <w:color w:val="000000"/>
          <w:sz w:val="22"/>
          <w:szCs w:val="22"/>
          <w:lang w:eastAsia="en-US"/>
        </w:rPr>
      </w:pPr>
    </w:p>
    <w:p w14:paraId="5F9353C5" w14:textId="7702C0D0" w:rsidR="00223F72" w:rsidRPr="00BC0E80" w:rsidRDefault="00223F72" w:rsidP="00223F7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t xml:space="preserve">Zgodnie z § 4c pkt 2 i 3 </w:t>
      </w:r>
      <w:proofErr w:type="spellStart"/>
      <w:r w:rsidRPr="00BC0E80">
        <w:rPr>
          <w:rFonts w:asciiTheme="minorHAnsi" w:hAnsiTheme="minorHAnsi" w:cstheme="minorHAnsi"/>
          <w:sz w:val="22"/>
          <w:szCs w:val="22"/>
        </w:rPr>
        <w:t>UoOPW</w:t>
      </w:r>
      <w:proofErr w:type="spellEnd"/>
      <w:r w:rsidRPr="00BC0E80">
        <w:rPr>
          <w:rFonts w:asciiTheme="minorHAnsi" w:hAnsiTheme="minorHAnsi" w:cstheme="minorHAnsi"/>
          <w:sz w:val="22"/>
          <w:szCs w:val="22"/>
        </w:rPr>
        <w:t xml:space="preserve"> (Umowy o Objęcie Przedsięwzięcia Wsparciem – dalej: Umowy), OOW zobowiązuje się do przygotowania </w:t>
      </w:r>
      <w:r w:rsidRPr="00BC0E80">
        <w:rPr>
          <w:rFonts w:asciiTheme="minorHAnsi" w:hAnsiTheme="minorHAnsi" w:cstheme="minorHAnsi"/>
          <w:b/>
          <w:sz w:val="22"/>
          <w:szCs w:val="22"/>
        </w:rPr>
        <w:t>raportu końcowego</w:t>
      </w:r>
      <w:r w:rsidRPr="00BC0E80">
        <w:rPr>
          <w:rFonts w:asciiTheme="minorHAnsi" w:hAnsiTheme="minorHAnsi" w:cstheme="minorHAnsi"/>
          <w:sz w:val="22"/>
          <w:szCs w:val="22"/>
        </w:rPr>
        <w:t xml:space="preserve"> w terminie określonym w Umowie, poprzedzającym złożenie wniosku o płatność końcową. W raporcie tym powinien zostać zamieszczony wykaz dokumentów potwierdzających informacje w nim zawarte. Ponadto OOW ma obowiązek dołączyć zaktualizowaną „Metryczkę Przedsięwzięcia”, o której mowa w § 4a Umowy.</w:t>
      </w:r>
    </w:p>
    <w:p w14:paraId="32019C96" w14:textId="01D38B89" w:rsidR="00223F72" w:rsidRPr="00BC0E80" w:rsidRDefault="00223F72" w:rsidP="00223F7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t xml:space="preserve">Zgodnie z § 4c pkt 3 w/w </w:t>
      </w:r>
      <w:r w:rsidRPr="006A20F2">
        <w:rPr>
          <w:rFonts w:asciiTheme="minorHAnsi" w:hAnsiTheme="minorHAnsi" w:cstheme="minorHAnsi"/>
          <w:b/>
          <w:sz w:val="22"/>
          <w:szCs w:val="22"/>
        </w:rPr>
        <w:t xml:space="preserve">Raport końcowy, powinien zawierać w szczególności podsumowanie informacji dotyczących zgodności Przedsięwzięcia z zasadą „nie czyń poważnych szkód” (Do No </w:t>
      </w:r>
      <w:proofErr w:type="spellStart"/>
      <w:r w:rsidRPr="006A20F2">
        <w:rPr>
          <w:rFonts w:asciiTheme="minorHAnsi" w:hAnsiTheme="minorHAnsi" w:cstheme="minorHAnsi"/>
          <w:b/>
          <w:sz w:val="22"/>
          <w:szCs w:val="22"/>
        </w:rPr>
        <w:t>Significan</w:t>
      </w:r>
      <w:proofErr w:type="spellEnd"/>
      <w:r w:rsidRPr="006A20F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6A20F2">
        <w:rPr>
          <w:rFonts w:asciiTheme="minorHAnsi" w:hAnsiTheme="minorHAnsi" w:cstheme="minorHAnsi"/>
          <w:b/>
          <w:sz w:val="22"/>
          <w:szCs w:val="22"/>
        </w:rPr>
        <w:t>Harm</w:t>
      </w:r>
      <w:proofErr w:type="spellEnd"/>
      <w:r w:rsidRPr="006A20F2">
        <w:rPr>
          <w:rFonts w:asciiTheme="minorHAnsi" w:hAnsiTheme="minorHAnsi" w:cstheme="minorHAnsi"/>
          <w:b/>
          <w:sz w:val="22"/>
          <w:szCs w:val="22"/>
        </w:rPr>
        <w:t xml:space="preserve"> – dalej:” DNSH) oraz dane potwierdzające zgodność</w:t>
      </w:r>
      <w:r w:rsidRPr="00BC0E80">
        <w:rPr>
          <w:rFonts w:asciiTheme="minorHAnsi" w:hAnsiTheme="minorHAnsi" w:cstheme="minorHAnsi"/>
          <w:sz w:val="22"/>
          <w:szCs w:val="22"/>
        </w:rPr>
        <w:t xml:space="preserve"> z zasadą DNSH działań, które będą realizowane na etapie eksploatacji Przedsięwzięcia.</w:t>
      </w:r>
    </w:p>
    <w:p w14:paraId="3D4F4587" w14:textId="3FABE6E5" w:rsidR="004F7DF6" w:rsidRPr="00BC0E80" w:rsidRDefault="004F7DF6" w:rsidP="004F7DF6">
      <w:pPr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t>Rozporządzenie ustanawiające Instrument na rzecz Odbudowy i Zwiększania Odporności (RRF) stanowi, że żaden środek zawarty w planie odbudowy i zwiększenia odporności nie powinien powodować poważnych szkód dla celów środowiskowych w rozumieniu art. 17 rozporządzenia w sprawie systematyki. Zgodnie z rozporządzeniem ustanawiającym RRF ocena planów odbudowy i zwiększania odporności powinna zapewnić, aby każdy środek (tj. każda reforma i każda inwestycja) w ramach planu był zgodny z zasadą „nie czyń poważnych szkód”</w:t>
      </w:r>
      <w:r w:rsidR="00223F72" w:rsidRPr="00BC0E80">
        <w:rPr>
          <w:rFonts w:asciiTheme="minorHAnsi" w:hAnsiTheme="minorHAnsi" w:cstheme="minorHAnsi"/>
          <w:sz w:val="22"/>
          <w:szCs w:val="22"/>
        </w:rPr>
        <w:t xml:space="preserve"> (dalej: DNSH)</w:t>
      </w:r>
      <w:r w:rsidRPr="00BC0E80">
        <w:rPr>
          <w:rFonts w:asciiTheme="minorHAnsi" w:hAnsiTheme="minorHAnsi" w:cstheme="minorHAnsi"/>
          <w:sz w:val="22"/>
          <w:szCs w:val="22"/>
        </w:rPr>
        <w:t xml:space="preserve"> wykazać, że środki proponowane przez nie w planie odbudowy i zwiększania odporności są zgodne z tą zasadą. Przestrzeganie mającego zastosowanie prawa UE i krajowego prawa ochrony środowiska jest odrębnym obowiązkiem i nie zwalnia z konieczności wykazania oceny zgodności z zasadą </w:t>
      </w:r>
      <w:r w:rsidR="00223F72" w:rsidRPr="00BC0E80">
        <w:rPr>
          <w:rFonts w:asciiTheme="minorHAnsi" w:hAnsiTheme="minorHAnsi" w:cstheme="minorHAnsi"/>
          <w:sz w:val="22"/>
          <w:szCs w:val="22"/>
        </w:rPr>
        <w:t>DNSH</w:t>
      </w:r>
      <w:r w:rsidRPr="00BC0E80">
        <w:rPr>
          <w:rFonts w:asciiTheme="minorHAnsi" w:hAnsiTheme="minorHAnsi" w:cstheme="minorHAnsi"/>
          <w:sz w:val="22"/>
          <w:szCs w:val="22"/>
        </w:rPr>
        <w:t>. Wszystkie środki zaproponowane w planie odbudowy i zwiększania odporności muszą być zgodne z odpowiednimi przepisami UE, w tym z odpowiednimi przepisami UE w zakresie ochrony środowiska.</w:t>
      </w:r>
    </w:p>
    <w:p w14:paraId="252B27E8" w14:textId="6D726D07" w:rsidR="004F7DF6" w:rsidRPr="00BC0E80" w:rsidRDefault="004F7DF6" w:rsidP="004F7DF6">
      <w:pPr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t xml:space="preserve">Zgodnie z wytycznymi KE Ocena zgodności z zasadą </w:t>
      </w:r>
      <w:r w:rsidR="00223F72" w:rsidRPr="00BC0E80">
        <w:rPr>
          <w:rFonts w:asciiTheme="minorHAnsi" w:hAnsiTheme="minorHAnsi" w:cstheme="minorHAnsi"/>
          <w:sz w:val="22"/>
          <w:szCs w:val="22"/>
        </w:rPr>
        <w:t xml:space="preserve">DNSH </w:t>
      </w:r>
      <w:r w:rsidRPr="00BC0E80">
        <w:rPr>
          <w:rFonts w:asciiTheme="minorHAnsi" w:hAnsiTheme="minorHAnsi" w:cstheme="minorHAnsi"/>
          <w:sz w:val="22"/>
          <w:szCs w:val="22"/>
        </w:rPr>
        <w:t xml:space="preserve">musi uwzględniać cały cykl życia działalności wynikającej ze środka. </w:t>
      </w:r>
      <w:r w:rsidRPr="00BC0E80">
        <w:rPr>
          <w:rFonts w:asciiTheme="minorHAnsi" w:hAnsiTheme="minorHAnsi" w:cstheme="minorHAnsi"/>
          <w:b/>
          <w:sz w:val="22"/>
          <w:szCs w:val="22"/>
        </w:rPr>
        <w:t>Na podstawie art. 17 („Poważne szkody dla celów środowiskowych”) rozporządzenia w sprawie systematyki przy ocenie „poważnych szkód” w kontekście RRF uwzględnia się cykl życia</w:t>
      </w:r>
      <w:r w:rsidRPr="00BC0E80">
        <w:rPr>
          <w:rFonts w:asciiTheme="minorHAnsi" w:hAnsiTheme="minorHAnsi" w:cstheme="minorHAnsi"/>
          <w:sz w:val="22"/>
          <w:szCs w:val="22"/>
        </w:rPr>
        <w:t>. Do celów oceny zgodności z zasadą „nie czyń poważnych szkód” w kontekście RRF wystarczy uwzględnić aspekty cyklu życia zamiast przeprowadzać ocenę cyklu życia. Zakres oceny powinien obejmować etapy produkcji, użytkowania i wycofania z eksploatacji – wszędzie tam, gdzie można spodziewać się powstawania największych szkód.</w:t>
      </w:r>
    </w:p>
    <w:p w14:paraId="6502E12B" w14:textId="77777777" w:rsidR="004F7DF6" w:rsidRPr="00BC0E80" w:rsidRDefault="004F7DF6" w:rsidP="00DF3956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t xml:space="preserve">Mając na uwadze charakter i terminy KPO oraz powyższe wymogi niezbędne jest zatem zapewnienie aby współfinansowany środek gwarantował </w:t>
      </w:r>
      <w:proofErr w:type="spellStart"/>
      <w:r w:rsidRPr="00BC0E80">
        <w:rPr>
          <w:rFonts w:asciiTheme="minorHAnsi" w:hAnsiTheme="minorHAnsi" w:cstheme="minorHAnsi"/>
          <w:sz w:val="22"/>
          <w:szCs w:val="22"/>
        </w:rPr>
        <w:t>równiez</w:t>
      </w:r>
      <w:proofErr w:type="spellEnd"/>
      <w:r w:rsidRPr="00BC0E80">
        <w:rPr>
          <w:rFonts w:asciiTheme="minorHAnsi" w:hAnsiTheme="minorHAnsi" w:cstheme="minorHAnsi"/>
          <w:sz w:val="22"/>
          <w:szCs w:val="22"/>
        </w:rPr>
        <w:t xml:space="preserve"> zgodność z zasadą DNSH na etapie użytkowania, który to etap generalnie będzie wykraczał poza terminy rozliczenia środków dla </w:t>
      </w:r>
      <w:proofErr w:type="spellStart"/>
      <w:r w:rsidRPr="00BC0E80">
        <w:rPr>
          <w:rFonts w:asciiTheme="minorHAnsi" w:hAnsiTheme="minorHAnsi" w:cstheme="minorHAnsi"/>
          <w:sz w:val="22"/>
          <w:szCs w:val="22"/>
        </w:rPr>
        <w:t>przedsiewziecia</w:t>
      </w:r>
      <w:proofErr w:type="spellEnd"/>
      <w:r w:rsidRPr="00BC0E80">
        <w:rPr>
          <w:rFonts w:asciiTheme="minorHAnsi" w:hAnsiTheme="minorHAnsi" w:cstheme="minorHAnsi"/>
          <w:sz w:val="22"/>
          <w:szCs w:val="22"/>
        </w:rPr>
        <w:t>.</w:t>
      </w:r>
    </w:p>
    <w:p w14:paraId="51A5557A" w14:textId="1B679007" w:rsidR="00223F72" w:rsidRPr="00BC0E80" w:rsidRDefault="00954719" w:rsidP="004F7DF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t xml:space="preserve">Raport końcowy stanowi </w:t>
      </w:r>
      <w:r w:rsidR="004F7DF6" w:rsidRPr="00BC0E80">
        <w:rPr>
          <w:rFonts w:asciiTheme="minorHAnsi" w:hAnsiTheme="minorHAnsi" w:cstheme="minorHAnsi"/>
          <w:sz w:val="22"/>
          <w:szCs w:val="22"/>
        </w:rPr>
        <w:t>zatem niezbędny element wykazujący zgodność z zasad</w:t>
      </w:r>
      <w:r w:rsidR="00223F72" w:rsidRPr="00BC0E80">
        <w:rPr>
          <w:rFonts w:asciiTheme="minorHAnsi" w:hAnsiTheme="minorHAnsi" w:cstheme="minorHAnsi"/>
          <w:sz w:val="22"/>
          <w:szCs w:val="22"/>
        </w:rPr>
        <w:t xml:space="preserve">ą DNSH </w:t>
      </w:r>
      <w:r w:rsidR="004F7DF6" w:rsidRPr="00BC0E80">
        <w:rPr>
          <w:rFonts w:asciiTheme="minorHAnsi" w:hAnsiTheme="minorHAnsi" w:cstheme="minorHAnsi"/>
          <w:sz w:val="22"/>
          <w:szCs w:val="22"/>
        </w:rPr>
        <w:t>na etapie planowania</w:t>
      </w:r>
      <w:r w:rsidR="00223F72" w:rsidRPr="00BC0E80">
        <w:rPr>
          <w:rFonts w:asciiTheme="minorHAnsi" w:hAnsiTheme="minorHAnsi" w:cstheme="minorHAnsi"/>
          <w:sz w:val="22"/>
          <w:szCs w:val="22"/>
        </w:rPr>
        <w:t>,</w:t>
      </w:r>
      <w:r w:rsidR="004F7DF6" w:rsidRPr="00BC0E80">
        <w:rPr>
          <w:rFonts w:asciiTheme="minorHAnsi" w:hAnsiTheme="minorHAnsi" w:cstheme="minorHAnsi"/>
          <w:sz w:val="22"/>
          <w:szCs w:val="22"/>
        </w:rPr>
        <w:t xml:space="preserve"> a także jest swego rodzaju podsumowaniem informacji zawartych wykonywanych wcześniej w sprawozdaniu corocznym. </w:t>
      </w:r>
      <w:r w:rsidR="004F7DF6" w:rsidRPr="00BC0E80">
        <w:rPr>
          <w:rFonts w:asciiTheme="minorHAnsi" w:hAnsiTheme="minorHAnsi" w:cstheme="minorHAnsi"/>
          <w:b/>
          <w:sz w:val="22"/>
          <w:szCs w:val="22"/>
        </w:rPr>
        <w:t>Zawiera informacje potwierdzające, że prowadzone na etapie przygotowania i realizacji projektu działania były zgodne z zasadą DNSH oraz planowane działania na etapie eksploatacji będą zgodne z zasadą DNSH</w:t>
      </w:r>
      <w:r w:rsidR="004F7DF6" w:rsidRPr="00BC0E80">
        <w:rPr>
          <w:rFonts w:asciiTheme="minorHAnsi" w:hAnsiTheme="minorHAnsi" w:cstheme="minorHAnsi"/>
          <w:sz w:val="22"/>
          <w:szCs w:val="22"/>
        </w:rPr>
        <w:t xml:space="preserve">. </w:t>
      </w:r>
      <w:bookmarkStart w:id="0" w:name="_GoBack"/>
      <w:bookmarkEnd w:id="0"/>
    </w:p>
    <w:p w14:paraId="12DD5943" w14:textId="77777777" w:rsidR="00223F72" w:rsidRPr="00BC0E80" w:rsidRDefault="00223F72" w:rsidP="004F7D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2EEA1A" w14:textId="336A5F78" w:rsidR="004F7DF6" w:rsidRPr="00BC0E80" w:rsidRDefault="00D36868" w:rsidP="004F7DF6">
      <w:pPr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t xml:space="preserve">Poniżej </w:t>
      </w:r>
      <w:r w:rsidR="009C43AF" w:rsidRPr="00BC0E80">
        <w:rPr>
          <w:rFonts w:asciiTheme="minorHAnsi" w:hAnsiTheme="minorHAnsi" w:cstheme="minorHAnsi"/>
          <w:sz w:val="22"/>
          <w:szCs w:val="22"/>
        </w:rPr>
        <w:t xml:space="preserve">przedstawiono </w:t>
      </w:r>
      <w:r w:rsidR="004F7DF6" w:rsidRPr="00BC0E80">
        <w:rPr>
          <w:rFonts w:asciiTheme="minorHAnsi" w:hAnsiTheme="minorHAnsi" w:cstheme="minorHAnsi"/>
          <w:sz w:val="22"/>
          <w:szCs w:val="22"/>
        </w:rPr>
        <w:t xml:space="preserve">zalecenia </w:t>
      </w:r>
      <w:r w:rsidRPr="00BC0E80">
        <w:rPr>
          <w:rFonts w:asciiTheme="minorHAnsi" w:hAnsiTheme="minorHAnsi" w:cstheme="minorHAnsi"/>
          <w:sz w:val="22"/>
          <w:szCs w:val="22"/>
        </w:rPr>
        <w:t>oraz przykładowy wzór</w:t>
      </w:r>
      <w:r w:rsidR="00B628B2" w:rsidRPr="00BC0E80">
        <w:rPr>
          <w:rFonts w:asciiTheme="minorHAnsi" w:hAnsiTheme="minorHAnsi" w:cstheme="minorHAnsi"/>
          <w:sz w:val="22"/>
          <w:szCs w:val="22"/>
        </w:rPr>
        <w:t xml:space="preserve"> </w:t>
      </w:r>
      <w:r w:rsidRPr="00BC0E80">
        <w:rPr>
          <w:rFonts w:asciiTheme="minorHAnsi" w:hAnsiTheme="minorHAnsi" w:cstheme="minorHAnsi"/>
          <w:sz w:val="22"/>
          <w:szCs w:val="22"/>
        </w:rPr>
        <w:t>formularza raportu końcowego. Korzystanie z tego wzoru nie jest obowiązkowe, jednak</w:t>
      </w:r>
      <w:r w:rsidR="004F7DF6" w:rsidRPr="00BC0E80">
        <w:rPr>
          <w:rFonts w:asciiTheme="minorHAnsi" w:hAnsiTheme="minorHAnsi" w:cstheme="minorHAnsi"/>
          <w:sz w:val="22"/>
          <w:szCs w:val="22"/>
        </w:rPr>
        <w:t xml:space="preserve"> ma ułatwić zawarcie przez OOW informacji niezbędnych do wykazania zgodności z zasadą DNSH</w:t>
      </w:r>
      <w:r w:rsidR="004F7DF6" w:rsidRPr="00BC0E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4F7DF6" w:rsidRPr="00BC0E80">
        <w:rPr>
          <w:rFonts w:asciiTheme="minorHAnsi" w:hAnsiTheme="minorHAnsi" w:cstheme="minorHAnsi"/>
          <w:sz w:val="22"/>
          <w:szCs w:val="22"/>
        </w:rPr>
        <w:t>.</w:t>
      </w:r>
    </w:p>
    <w:p w14:paraId="6DBCB25F" w14:textId="796CF489" w:rsidR="005449FF" w:rsidRPr="00BC0E80" w:rsidRDefault="00D36868" w:rsidP="00DF3956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lastRenderedPageBreak/>
        <w:t>Przedstawiony wzór formularza składa się z czterech części:</w:t>
      </w:r>
    </w:p>
    <w:p w14:paraId="7B13D747" w14:textId="77777777" w:rsidR="00D36868" w:rsidRPr="00BC0E80" w:rsidRDefault="00D36868" w:rsidP="00DF3956">
      <w:pPr>
        <w:pStyle w:val="Akapitzlist"/>
        <w:numPr>
          <w:ilvl w:val="0"/>
          <w:numId w:val="6"/>
        </w:numPr>
        <w:spacing w:before="120" w:after="120"/>
        <w:rPr>
          <w:rFonts w:asciiTheme="minorHAnsi" w:hAnsiTheme="minorHAnsi" w:cstheme="minorHAnsi"/>
          <w:vanish/>
          <w:sz w:val="22"/>
          <w:szCs w:val="22"/>
          <w:specVanish/>
        </w:rPr>
      </w:pPr>
    </w:p>
    <w:p w14:paraId="4336A6DE" w14:textId="1A89DB8A" w:rsidR="000F60AF" w:rsidRPr="00BC0E80" w:rsidRDefault="009F1847" w:rsidP="00DF3956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b/>
          <w:sz w:val="22"/>
          <w:szCs w:val="22"/>
        </w:rPr>
        <w:t>W części A „Zgodność</w:t>
      </w:r>
      <w:r w:rsidR="00492BA3" w:rsidRPr="00BC0E80">
        <w:rPr>
          <w:rFonts w:asciiTheme="minorHAnsi" w:hAnsiTheme="minorHAnsi" w:cstheme="minorHAnsi"/>
          <w:b/>
          <w:sz w:val="22"/>
          <w:szCs w:val="22"/>
        </w:rPr>
        <w:t xml:space="preserve"> z zasadą DNSH</w:t>
      </w:r>
      <w:r w:rsidRPr="00BC0E80">
        <w:rPr>
          <w:rFonts w:asciiTheme="minorHAnsi" w:hAnsiTheme="minorHAnsi" w:cstheme="minorHAnsi"/>
          <w:b/>
          <w:sz w:val="22"/>
          <w:szCs w:val="22"/>
        </w:rPr>
        <w:t>…”</w:t>
      </w:r>
      <w:r w:rsidRPr="00BC0E80">
        <w:rPr>
          <w:rFonts w:asciiTheme="minorHAnsi" w:hAnsiTheme="minorHAnsi" w:cstheme="minorHAnsi"/>
          <w:sz w:val="22"/>
          <w:szCs w:val="22"/>
        </w:rPr>
        <w:t xml:space="preserve"> </w:t>
      </w:r>
      <w:r w:rsidR="00492BA3" w:rsidRPr="00BC0E80">
        <w:rPr>
          <w:rFonts w:asciiTheme="minorHAnsi" w:hAnsiTheme="minorHAnsi" w:cstheme="minorHAnsi"/>
          <w:sz w:val="22"/>
          <w:szCs w:val="22"/>
        </w:rPr>
        <w:t>n</w:t>
      </w:r>
      <w:r w:rsidR="000F60AF" w:rsidRPr="00BC0E80">
        <w:rPr>
          <w:rFonts w:asciiTheme="minorHAnsi" w:hAnsiTheme="minorHAnsi" w:cstheme="minorHAnsi"/>
          <w:sz w:val="22"/>
          <w:szCs w:val="22"/>
        </w:rPr>
        <w:t xml:space="preserve">ależy odnieść </w:t>
      </w:r>
      <w:r w:rsidR="001B1DDE" w:rsidRPr="00BC0E80">
        <w:rPr>
          <w:rFonts w:asciiTheme="minorHAnsi" w:hAnsiTheme="minorHAnsi" w:cstheme="minorHAnsi"/>
          <w:sz w:val="22"/>
          <w:szCs w:val="22"/>
        </w:rPr>
        <w:t xml:space="preserve">się </w:t>
      </w:r>
      <w:r w:rsidR="000F60AF" w:rsidRPr="00BC0E80">
        <w:rPr>
          <w:rFonts w:asciiTheme="minorHAnsi" w:hAnsiTheme="minorHAnsi" w:cstheme="minorHAnsi"/>
          <w:sz w:val="22"/>
          <w:szCs w:val="22"/>
        </w:rPr>
        <w:t xml:space="preserve">do wymogów </w:t>
      </w:r>
      <w:r w:rsidR="00223F72" w:rsidRPr="00BC0E80">
        <w:rPr>
          <w:rFonts w:asciiTheme="minorHAnsi" w:hAnsiTheme="minorHAnsi" w:cstheme="minorHAnsi"/>
          <w:sz w:val="22"/>
          <w:szCs w:val="22"/>
        </w:rPr>
        <w:t xml:space="preserve">dotyczących ochrony środowiska zawartych </w:t>
      </w:r>
      <w:r w:rsidR="000F60AF" w:rsidRPr="00BC0E80">
        <w:rPr>
          <w:rFonts w:asciiTheme="minorHAnsi" w:hAnsiTheme="minorHAnsi" w:cstheme="minorHAnsi"/>
          <w:sz w:val="22"/>
          <w:szCs w:val="22"/>
        </w:rPr>
        <w:t>w aktualnych n/w dokumentach</w:t>
      </w:r>
      <w:r w:rsidR="00223F72" w:rsidRPr="00BC0E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492BA3" w:rsidRPr="00BC0E80">
        <w:rPr>
          <w:rFonts w:asciiTheme="minorHAnsi" w:hAnsiTheme="minorHAnsi" w:cstheme="minorHAnsi"/>
          <w:sz w:val="22"/>
          <w:szCs w:val="22"/>
        </w:rPr>
        <w:t>:</w:t>
      </w:r>
    </w:p>
    <w:p w14:paraId="22AC7807" w14:textId="11BD9093" w:rsidR="000F60AF" w:rsidRPr="00BC0E80" w:rsidRDefault="000F60AF" w:rsidP="00DF3956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Krajowy </w:t>
      </w:r>
      <w:r w:rsidR="000757BF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Plan </w:t>
      </w:r>
      <w:r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>Odbudowy</w:t>
      </w:r>
      <w:r w:rsidR="000757BF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Zwiększania Odporności</w:t>
      </w:r>
      <w:r w:rsidR="005A3601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wraz z rewizjami</w:t>
      </w:r>
      <w:r w:rsidR="00492BA3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14:paraId="4D85752A" w14:textId="190229E1" w:rsidR="000F60AF" w:rsidRPr="00BC0E80" w:rsidRDefault="000F60AF" w:rsidP="00DF3956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>Decyzja Wykonawcza Rady</w:t>
      </w:r>
      <w:r w:rsidR="002E284B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sprawie zatwierdzenia oceny planu odbudowy i zwiększania odporności Polski</w:t>
      </w:r>
      <w:r w:rsidR="00B23297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wraz ze zmianami</w:t>
      </w:r>
      <w:r w:rsidR="00492BA3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14:paraId="13ECB72F" w14:textId="18BA5818" w:rsidR="000F60AF" w:rsidRPr="00BC0E80" w:rsidRDefault="000F60AF" w:rsidP="00DF3956">
      <w:pPr>
        <w:pStyle w:val="Akapitzlist"/>
        <w:numPr>
          <w:ilvl w:val="0"/>
          <w:numId w:val="5"/>
        </w:num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>Załącznik do Decyzji Wykonawczej Rady</w:t>
      </w:r>
      <w:r w:rsidR="00534AA0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sprawie zatwierdzenia oceny planu odbudowy i zwiększania odporności Polski</w:t>
      </w:r>
      <w:r w:rsidR="00B23297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wraz ze zmianami</w:t>
      </w:r>
      <w:r w:rsidR="00492BA3" w:rsidRPr="00BC0E8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51A0BA93" w14:textId="77777777" w:rsidR="009F1847" w:rsidRPr="00BC0E80" w:rsidRDefault="009F1847" w:rsidP="000345D5">
      <w:pPr>
        <w:pStyle w:val="Akapitzlist"/>
        <w:numPr>
          <w:ilvl w:val="0"/>
          <w:numId w:val="7"/>
        </w:numPr>
        <w:spacing w:before="120" w:after="12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BC0E80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W części B „</w:t>
      </w:r>
      <w:r w:rsidR="00492BA3" w:rsidRPr="00BC0E80">
        <w:rPr>
          <w:rFonts w:asciiTheme="minorHAnsi" w:eastAsia="Calibri" w:hAnsiTheme="minorHAnsi" w:cstheme="minorHAnsi"/>
          <w:b/>
          <w:bCs/>
          <w:iCs/>
          <w:kern w:val="20"/>
          <w:sz w:val="22"/>
          <w:szCs w:val="22"/>
          <w:lang w:eastAsia="en-US"/>
        </w:rPr>
        <w:t>Z</w:t>
      </w:r>
      <w:r w:rsidR="00492BA3" w:rsidRPr="00BC0E80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godność z celami środowiskowym zasady DNSH...</w:t>
      </w:r>
      <w:r w:rsidRPr="00BC0E80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”</w:t>
      </w:r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</w:p>
    <w:p w14:paraId="1E227065" w14:textId="36560C67" w:rsidR="00B30633" w:rsidRPr="00BC0E80" w:rsidRDefault="00D36868" w:rsidP="000345D5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Należy o</w:t>
      </w:r>
      <w:r w:rsidR="000F60AF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pisać działania oraz dowody potwierdzające tylko w zakresie tych etapów projektu oraz tych działań, które zostały podjęte do dnia wykonania raportu końcowego. </w:t>
      </w:r>
      <w:r w:rsidR="00B30633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Dodatkowo należy określić, czy dla danego celu wymagane było przeprowadzenie oceny merytorycznej zgodnie z dokumentem „Ocena DNSH reform i inwestycji (wiązek projektów) przedstawionych w KPO” opracowanym przez ATMOTERM S.A.</w:t>
      </w:r>
      <w:r w:rsidR="00EC400E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” wraz z </w:t>
      </w:r>
      <w:proofErr w:type="spellStart"/>
      <w:r w:rsidR="00EC400E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rewzjami</w:t>
      </w:r>
      <w:proofErr w:type="spellEnd"/>
      <w:r w:rsidR="00223F72" w:rsidRPr="00BC0E80">
        <w:rPr>
          <w:rStyle w:val="Odwoanieprzypisudolnego"/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footnoteReference w:id="3"/>
      </w:r>
      <w:r w:rsidR="00B30633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– jeśli tak, szczególną uwagę należy zwrócić na precyzyjne opisanie </w:t>
      </w:r>
      <w:r w:rsidR="00944F1C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działań</w:t>
      </w:r>
      <w:r w:rsidR="00B30633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, które potwierdzają </w:t>
      </w:r>
      <w:r w:rsidR="001D43A6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wykonanie rekomendacji wskazanych dla danego celu środowiskowego </w:t>
      </w:r>
      <w:r w:rsidR="003938C2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w </w:t>
      </w:r>
      <w:r w:rsidR="00CB6DA9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ww. dokumencie potwierdzających </w:t>
      </w:r>
      <w:r w:rsidR="00B30633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zgodność projektu z zasadą DNSH.</w:t>
      </w:r>
    </w:p>
    <w:p w14:paraId="2A3EA81C" w14:textId="63EE22C1" w:rsidR="00D36868" w:rsidRPr="00BC0E80" w:rsidRDefault="00D36868" w:rsidP="000345D5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Należy opierać się na informacjach zawartych</w:t>
      </w:r>
      <w:r w:rsidR="00045AD1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w „Ocenie DNSH reform i inwestycji (wiązek projektów) przedstawionych w KPO” oraz </w:t>
      </w:r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w załącznikach do </w:t>
      </w:r>
      <w:proofErr w:type="spellStart"/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WoOPW</w:t>
      </w:r>
      <w:proofErr w:type="spellEnd"/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, a w szczególności na: </w:t>
      </w:r>
    </w:p>
    <w:p w14:paraId="40C416B5" w14:textId="59EA9D95" w:rsidR="00D36868" w:rsidRPr="00BC0E80" w:rsidRDefault="00D36868" w:rsidP="000345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załączniku: </w:t>
      </w:r>
      <w:r w:rsidR="00565695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Oświadczenia potwierdzające zgodność z zasadą DNSH </w:t>
      </w:r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– dalej: Oświadczenie DNSH, </w:t>
      </w:r>
    </w:p>
    <w:p w14:paraId="3DA8041B" w14:textId="77777777" w:rsidR="00D36868" w:rsidRPr="00BC0E80" w:rsidRDefault="00D36868" w:rsidP="000345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załączniku: Wstępny wykaz dowodów gromadzonych przez Wnioskodawcę, potwierdzających zgodność z poszczególnymi celami zasady DNSH – dalej: wstępny wykaz dowodów DNSH.</w:t>
      </w:r>
    </w:p>
    <w:p w14:paraId="71B25E4A" w14:textId="00BB73A5" w:rsidR="000F60AF" w:rsidRPr="00BC0E80" w:rsidRDefault="00527A7C" w:rsidP="000345D5">
      <w:pPr>
        <w:pStyle w:val="Akapitzlist"/>
        <w:numPr>
          <w:ilvl w:val="0"/>
          <w:numId w:val="3"/>
        </w:numPr>
        <w:spacing w:before="120" w:after="120"/>
        <w:jc w:val="both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  <w:r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Raport końcowy należy s</w:t>
      </w:r>
      <w:r w:rsidR="0002647A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porządzić na podstawie </w:t>
      </w:r>
      <w:r w:rsidR="00134245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wykonanych </w:t>
      </w:r>
      <w:r w:rsidR="001B1DDE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wcześniej </w:t>
      </w:r>
      <w:r w:rsidR="00492BA3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sprawozda</w:t>
      </w:r>
      <w:r w:rsidR="00134245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ń</w:t>
      </w:r>
      <w:r w:rsidR="00492BA3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 </w:t>
      </w:r>
      <w:r w:rsidR="00134245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>corocznych</w:t>
      </w:r>
      <w:r w:rsidR="0002647A" w:rsidRPr="00BC0E80"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  <w:t xml:space="preserve">. </w:t>
      </w:r>
    </w:p>
    <w:p w14:paraId="62D83EF5" w14:textId="77777777" w:rsidR="000F60AF" w:rsidRPr="00BC0E80" w:rsidRDefault="00492BA3" w:rsidP="000345D5">
      <w:pPr>
        <w:pStyle w:val="Akapitzlist"/>
        <w:numPr>
          <w:ilvl w:val="0"/>
          <w:numId w:val="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t>P</w:t>
      </w:r>
      <w:r w:rsidR="008C268D" w:rsidRPr="00BC0E80">
        <w:rPr>
          <w:rFonts w:asciiTheme="minorHAnsi" w:hAnsiTheme="minorHAnsi" w:cstheme="minorHAnsi"/>
          <w:sz w:val="22"/>
          <w:szCs w:val="22"/>
        </w:rPr>
        <w:t>owyższe</w:t>
      </w:r>
      <w:r w:rsidR="000F60AF" w:rsidRPr="00BC0E80">
        <w:rPr>
          <w:rFonts w:asciiTheme="minorHAnsi" w:hAnsiTheme="minorHAnsi" w:cstheme="minorHAnsi"/>
          <w:sz w:val="22"/>
          <w:szCs w:val="22"/>
        </w:rPr>
        <w:t xml:space="preserve"> informacje mogą być przedstawione w tabeli lub w formie tekstu.</w:t>
      </w:r>
    </w:p>
    <w:p w14:paraId="1CF4236F" w14:textId="77777777" w:rsidR="000F60AF" w:rsidRPr="00BC0E80" w:rsidRDefault="000F60AF" w:rsidP="000345D5">
      <w:pPr>
        <w:pStyle w:val="Akapitzlist"/>
        <w:spacing w:before="120" w:after="12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5D00186A" w14:textId="61B7B8A5" w:rsidR="000C27FB" w:rsidRPr="00BC0E80" w:rsidRDefault="000C27FB" w:rsidP="00BC0E80">
      <w:pPr>
        <w:pStyle w:val="Akapitzlist"/>
        <w:numPr>
          <w:ilvl w:val="0"/>
          <w:numId w:val="7"/>
        </w:numPr>
        <w:tabs>
          <w:tab w:val="left" w:pos="12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C0E80">
        <w:rPr>
          <w:rFonts w:asciiTheme="minorHAnsi" w:eastAsia="Calibri" w:hAnsiTheme="minorHAnsi" w:cstheme="minorHAnsi"/>
          <w:b/>
          <w:sz w:val="22"/>
          <w:szCs w:val="22"/>
        </w:rPr>
        <w:t xml:space="preserve">W części C „Metryczka przedsięwzięcia” </w:t>
      </w:r>
      <w:r w:rsidRPr="00BC0E80">
        <w:rPr>
          <w:rFonts w:asciiTheme="minorHAnsi" w:eastAsia="Calibri" w:hAnsiTheme="minorHAnsi" w:cstheme="minorHAnsi"/>
          <w:sz w:val="22"/>
          <w:szCs w:val="22"/>
        </w:rPr>
        <w:t>w p</w:t>
      </w:r>
      <w:r w:rsidR="00B30633" w:rsidRPr="00BC0E80">
        <w:rPr>
          <w:rFonts w:asciiTheme="minorHAnsi" w:eastAsia="Calibri" w:hAnsiTheme="minorHAnsi" w:cstheme="minorHAnsi"/>
          <w:sz w:val="22"/>
          <w:szCs w:val="22"/>
        </w:rPr>
        <w:t>rzypadku</w:t>
      </w:r>
      <w:r w:rsidR="00C15CB5" w:rsidRPr="00BC0E8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30633" w:rsidRPr="00BC0E80">
        <w:rPr>
          <w:rFonts w:asciiTheme="minorHAnsi" w:eastAsia="Calibri" w:hAnsiTheme="minorHAnsi" w:cstheme="minorHAnsi"/>
          <w:sz w:val="22"/>
          <w:szCs w:val="22"/>
        </w:rPr>
        <w:t>gdy</w:t>
      </w:r>
      <w:r w:rsidRPr="00BC0E8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223F72" w:rsidRPr="00BC0E80">
        <w:rPr>
          <w:rFonts w:asciiTheme="minorHAnsi" w:eastAsia="Calibri" w:hAnsiTheme="minorHAnsi" w:cstheme="minorHAnsi"/>
          <w:sz w:val="22"/>
          <w:szCs w:val="22"/>
        </w:rPr>
        <w:t xml:space="preserve">ten dokument był </w:t>
      </w:r>
      <w:r w:rsidRPr="00BC0E80">
        <w:rPr>
          <w:rFonts w:asciiTheme="minorHAnsi" w:eastAsia="Calibri" w:hAnsiTheme="minorHAnsi" w:cstheme="minorHAnsi"/>
          <w:sz w:val="22"/>
          <w:szCs w:val="22"/>
        </w:rPr>
        <w:t>wymagan</w:t>
      </w:r>
      <w:r w:rsidR="00223F72" w:rsidRPr="00BC0E80">
        <w:rPr>
          <w:rFonts w:asciiTheme="minorHAnsi" w:eastAsia="Calibri" w:hAnsiTheme="minorHAnsi" w:cstheme="minorHAnsi"/>
          <w:sz w:val="22"/>
          <w:szCs w:val="22"/>
        </w:rPr>
        <w:t>y</w:t>
      </w:r>
      <w:r w:rsidRPr="00BC0E80">
        <w:rPr>
          <w:rFonts w:asciiTheme="minorHAnsi" w:eastAsia="Calibri" w:hAnsiTheme="minorHAnsi" w:cstheme="minorHAnsi"/>
          <w:sz w:val="22"/>
          <w:szCs w:val="22"/>
        </w:rPr>
        <w:t xml:space="preserve"> na etapie </w:t>
      </w:r>
      <w:proofErr w:type="spellStart"/>
      <w:r w:rsidR="00C15CB5" w:rsidRPr="00BC0E80">
        <w:rPr>
          <w:rFonts w:asciiTheme="minorHAnsi" w:eastAsia="Calibri" w:hAnsiTheme="minorHAnsi" w:cstheme="minorHAnsi"/>
          <w:sz w:val="22"/>
          <w:szCs w:val="22"/>
        </w:rPr>
        <w:t>WoOPW</w:t>
      </w:r>
      <w:proofErr w:type="spellEnd"/>
      <w:r w:rsidR="00C15CB5" w:rsidRPr="00BC0E8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C0E80">
        <w:rPr>
          <w:rFonts w:asciiTheme="minorHAnsi" w:eastAsia="Calibri" w:hAnsiTheme="minorHAnsi" w:cstheme="minorHAnsi"/>
          <w:sz w:val="22"/>
          <w:szCs w:val="22"/>
        </w:rPr>
        <w:t>należy przedstawić zaktualizowaną wersję</w:t>
      </w:r>
      <w:r w:rsidR="00C15CB5" w:rsidRPr="00BC0E80">
        <w:rPr>
          <w:rFonts w:asciiTheme="minorHAnsi" w:eastAsia="Calibri" w:hAnsiTheme="minorHAnsi" w:cstheme="minorHAnsi"/>
          <w:sz w:val="22"/>
          <w:szCs w:val="22"/>
        </w:rPr>
        <w:t xml:space="preserve"> na dzień przygotowania raportu końcowego</w:t>
      </w:r>
      <w:r w:rsidRPr="00BC0E80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="00B30633" w:rsidRPr="00BC0E80">
        <w:rPr>
          <w:rFonts w:asciiTheme="minorHAnsi" w:eastAsia="Calibri" w:hAnsiTheme="minorHAnsi" w:cstheme="minorHAnsi"/>
          <w:sz w:val="22"/>
          <w:szCs w:val="22"/>
        </w:rPr>
        <w:t>uwzględniając</w:t>
      </w:r>
      <w:r w:rsidRPr="00BC0E80">
        <w:rPr>
          <w:rFonts w:asciiTheme="minorHAnsi" w:eastAsia="Calibri" w:hAnsiTheme="minorHAnsi" w:cstheme="minorHAnsi"/>
          <w:sz w:val="22"/>
          <w:szCs w:val="22"/>
        </w:rPr>
        <w:t xml:space="preserve"> ewentualne zmiany zakresu projektu oraz uzyskane decyzje</w:t>
      </w:r>
      <w:r w:rsidR="002C554A" w:rsidRPr="00BC0E80">
        <w:rPr>
          <w:rFonts w:asciiTheme="minorHAnsi" w:eastAsia="Calibri" w:hAnsiTheme="minorHAnsi" w:cstheme="minorHAnsi"/>
          <w:sz w:val="22"/>
          <w:szCs w:val="22"/>
        </w:rPr>
        <w:t xml:space="preserve"> administracyjne, o których mowa </w:t>
      </w:r>
      <w:r w:rsidR="000D5448" w:rsidRPr="00BC0E80">
        <w:rPr>
          <w:rFonts w:asciiTheme="minorHAnsi" w:eastAsia="Calibri" w:hAnsiTheme="minorHAnsi" w:cstheme="minorHAnsi"/>
          <w:sz w:val="22"/>
          <w:szCs w:val="22"/>
        </w:rPr>
        <w:t xml:space="preserve">§ 4a pkt 1 </w:t>
      </w:r>
      <w:r w:rsidR="00223F72" w:rsidRPr="00BC0E80">
        <w:rPr>
          <w:rFonts w:asciiTheme="minorHAnsi" w:eastAsia="Calibri" w:hAnsiTheme="minorHAnsi" w:cstheme="minorHAnsi"/>
          <w:sz w:val="22"/>
          <w:szCs w:val="22"/>
        </w:rPr>
        <w:t>Umowy</w:t>
      </w:r>
      <w:r w:rsidR="000D5448" w:rsidRPr="00BC0E80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0C68AD" w:rsidRPr="00BC0E80">
        <w:rPr>
          <w:rFonts w:asciiTheme="minorHAnsi" w:eastAsia="Calibri" w:hAnsiTheme="minorHAnsi" w:cstheme="minorHAnsi"/>
          <w:sz w:val="22"/>
          <w:szCs w:val="22"/>
        </w:rPr>
        <w:t>decyzje o środowiskowych uwarunkowaniach lub decyzje budowlane lub zmiany tych decyzji).</w:t>
      </w:r>
    </w:p>
    <w:p w14:paraId="36E70FE2" w14:textId="7A3EEC40" w:rsidR="000C27FB" w:rsidRPr="00BC0E80" w:rsidRDefault="000C27FB" w:rsidP="00BC0E80">
      <w:pPr>
        <w:pStyle w:val="Akapitzlist"/>
        <w:numPr>
          <w:ilvl w:val="0"/>
          <w:numId w:val="7"/>
        </w:numPr>
        <w:tabs>
          <w:tab w:val="left" w:pos="12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C0E80">
        <w:rPr>
          <w:rFonts w:asciiTheme="minorHAnsi" w:eastAsia="Calibri" w:hAnsiTheme="minorHAnsi" w:cstheme="minorHAnsi"/>
          <w:b/>
          <w:sz w:val="22"/>
          <w:szCs w:val="22"/>
        </w:rPr>
        <w:t xml:space="preserve">W części D „Deklaracje organów” </w:t>
      </w:r>
      <w:r w:rsidR="009B3C20" w:rsidRPr="00BC0E80">
        <w:rPr>
          <w:rFonts w:asciiTheme="minorHAnsi" w:eastAsia="Calibri" w:hAnsiTheme="minorHAnsi" w:cstheme="minorHAnsi"/>
          <w:b/>
          <w:sz w:val="22"/>
          <w:szCs w:val="22"/>
        </w:rPr>
        <w:t>(</w:t>
      </w:r>
      <w:r w:rsidR="00B30633" w:rsidRPr="00BC0E80">
        <w:rPr>
          <w:rFonts w:asciiTheme="minorHAnsi" w:eastAsia="Calibri" w:hAnsiTheme="minorHAnsi" w:cstheme="minorHAnsi"/>
          <w:b/>
          <w:sz w:val="22"/>
          <w:szCs w:val="22"/>
        </w:rPr>
        <w:t xml:space="preserve">dotyczy tylko przedsięwzięć, dla których w </w:t>
      </w:r>
      <w:proofErr w:type="spellStart"/>
      <w:r w:rsidR="00B30633" w:rsidRPr="00BC0E80">
        <w:rPr>
          <w:rFonts w:asciiTheme="minorHAnsi" w:eastAsia="Calibri" w:hAnsiTheme="minorHAnsi" w:cstheme="minorHAnsi"/>
          <w:b/>
          <w:sz w:val="22"/>
          <w:szCs w:val="22"/>
        </w:rPr>
        <w:t>UoOPW</w:t>
      </w:r>
      <w:proofErr w:type="spellEnd"/>
      <w:r w:rsidR="00B30633" w:rsidRPr="00BC0E8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817C82" w:rsidRPr="00BC0E80">
        <w:rPr>
          <w:rFonts w:asciiTheme="minorHAnsi" w:eastAsia="Calibri" w:hAnsiTheme="minorHAnsi" w:cstheme="minorHAnsi"/>
          <w:b/>
          <w:sz w:val="22"/>
          <w:szCs w:val="22"/>
        </w:rPr>
        <w:t>uwzględniono</w:t>
      </w:r>
      <w:r w:rsidR="00B30633" w:rsidRPr="00BC0E80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817C82" w:rsidRPr="00BC0E80">
        <w:rPr>
          <w:rFonts w:asciiTheme="minorHAnsi" w:eastAsia="Calibri" w:hAnsiTheme="minorHAnsi" w:cstheme="minorHAnsi"/>
          <w:sz w:val="22"/>
          <w:szCs w:val="22"/>
        </w:rPr>
        <w:t>§</w:t>
      </w:r>
      <w:r w:rsidR="00B30633" w:rsidRPr="00BC0E80">
        <w:rPr>
          <w:rFonts w:asciiTheme="minorHAnsi" w:eastAsia="Calibri" w:hAnsiTheme="minorHAnsi" w:cstheme="minorHAnsi"/>
          <w:b/>
          <w:sz w:val="22"/>
          <w:szCs w:val="22"/>
        </w:rPr>
        <w:t xml:space="preserve"> 4b</w:t>
      </w:r>
      <w:r w:rsidR="00817C82" w:rsidRPr="00BC0E80">
        <w:rPr>
          <w:rFonts w:asciiTheme="minorHAnsi" w:eastAsia="Calibri" w:hAnsiTheme="minorHAnsi" w:cstheme="minorHAnsi"/>
          <w:b/>
          <w:sz w:val="22"/>
          <w:szCs w:val="22"/>
        </w:rPr>
        <w:t>)</w:t>
      </w:r>
      <w:r w:rsidR="00817C82" w:rsidRPr="00BC0E80">
        <w:rPr>
          <w:rFonts w:asciiTheme="minorHAnsi" w:eastAsia="Calibri" w:hAnsiTheme="minorHAnsi" w:cstheme="minorHAnsi"/>
          <w:sz w:val="22"/>
          <w:szCs w:val="22"/>
        </w:rPr>
        <w:t xml:space="preserve"> n</w:t>
      </w:r>
      <w:r w:rsidRPr="00BC0E80">
        <w:rPr>
          <w:rFonts w:asciiTheme="minorHAnsi" w:eastAsia="Calibri" w:hAnsiTheme="minorHAnsi" w:cstheme="minorHAnsi"/>
          <w:sz w:val="22"/>
          <w:szCs w:val="22"/>
        </w:rPr>
        <w:t>ależy zamieścić informacje dotyczące uzyskanych deklaracji Natura 2000 oraz informacji wodnej/pozwolenia wodnoprawnego/oceny wodnoprawnej.</w:t>
      </w:r>
    </w:p>
    <w:p w14:paraId="4E07A341" w14:textId="77777777" w:rsidR="00A35CCA" w:rsidRPr="00BC0E80" w:rsidRDefault="00A35CCA">
      <w:pPr>
        <w:rPr>
          <w:rFonts w:asciiTheme="minorHAnsi" w:hAnsiTheme="minorHAnsi" w:cstheme="minorHAnsi"/>
          <w:b/>
          <w:sz w:val="22"/>
          <w:szCs w:val="22"/>
        </w:rPr>
      </w:pPr>
    </w:p>
    <w:p w14:paraId="0D330871" w14:textId="77777777" w:rsidR="004F7DF6" w:rsidRPr="00BC0E80" w:rsidRDefault="004F7DF6" w:rsidP="004F7DF6">
      <w:pPr>
        <w:jc w:val="both"/>
        <w:rPr>
          <w:rFonts w:asciiTheme="minorHAnsi" w:hAnsiTheme="minorHAnsi" w:cstheme="minorHAnsi"/>
          <w:sz w:val="22"/>
          <w:szCs w:val="22"/>
        </w:rPr>
      </w:pPr>
      <w:r w:rsidRPr="00BC0E80">
        <w:rPr>
          <w:rFonts w:asciiTheme="minorHAnsi" w:hAnsiTheme="minorHAnsi" w:cstheme="minorHAnsi"/>
          <w:sz w:val="22"/>
          <w:szCs w:val="22"/>
        </w:rPr>
        <w:t xml:space="preserve">Jeżeli po podpisaniu </w:t>
      </w:r>
      <w:proofErr w:type="spellStart"/>
      <w:r w:rsidRPr="00BC0E80">
        <w:rPr>
          <w:rFonts w:asciiTheme="minorHAnsi" w:hAnsiTheme="minorHAnsi" w:cstheme="minorHAnsi"/>
          <w:sz w:val="22"/>
          <w:szCs w:val="22"/>
        </w:rPr>
        <w:t>UoOPW</w:t>
      </w:r>
      <w:proofErr w:type="spellEnd"/>
      <w:r w:rsidRPr="00BC0E80">
        <w:rPr>
          <w:rFonts w:asciiTheme="minorHAnsi" w:hAnsiTheme="minorHAnsi" w:cstheme="minorHAnsi"/>
          <w:sz w:val="22"/>
          <w:szCs w:val="22"/>
        </w:rPr>
        <w:t xml:space="preserve"> wprowadzono zmiany w zakresie przedsięwzięcia, należy to wyraźnie wskazać oraz uwzględnić odpowiednie informacje i dowody potwierdzające zgodność z zasadą DNSH w raporcie.</w:t>
      </w:r>
    </w:p>
    <w:p w14:paraId="534C3035" w14:textId="77777777" w:rsidR="00A35CCA" w:rsidRPr="00BC0E80" w:rsidRDefault="00A35CCA">
      <w:pPr>
        <w:rPr>
          <w:rFonts w:asciiTheme="minorHAnsi" w:hAnsiTheme="minorHAnsi" w:cstheme="minorHAnsi"/>
          <w:b/>
          <w:sz w:val="22"/>
          <w:szCs w:val="22"/>
        </w:rPr>
      </w:pPr>
    </w:p>
    <w:p w14:paraId="689E5BBE" w14:textId="77777777" w:rsidR="00A35CCA" w:rsidRPr="00BC0E80" w:rsidRDefault="00A35CCA">
      <w:pPr>
        <w:rPr>
          <w:rFonts w:asciiTheme="minorHAnsi" w:hAnsiTheme="minorHAnsi" w:cstheme="minorHAnsi"/>
          <w:b/>
          <w:sz w:val="22"/>
          <w:szCs w:val="22"/>
        </w:rPr>
      </w:pPr>
    </w:p>
    <w:p w14:paraId="1E327AF7" w14:textId="77777777" w:rsidR="00A469B9" w:rsidRPr="00BC0E80" w:rsidRDefault="007E6A8C">
      <w:pPr>
        <w:rPr>
          <w:rFonts w:asciiTheme="minorHAnsi" w:hAnsiTheme="minorHAnsi" w:cstheme="minorHAnsi"/>
          <w:b/>
          <w:sz w:val="22"/>
          <w:szCs w:val="22"/>
        </w:rPr>
      </w:pPr>
      <w:r w:rsidRPr="00BC0E80">
        <w:rPr>
          <w:rFonts w:asciiTheme="minorHAnsi" w:hAnsiTheme="minorHAnsi" w:cstheme="minorHAnsi"/>
          <w:b/>
          <w:sz w:val="22"/>
          <w:szCs w:val="22"/>
        </w:rPr>
        <w:t>Przykładowy</w:t>
      </w:r>
      <w:r w:rsidR="009F1847" w:rsidRPr="00BC0E80">
        <w:rPr>
          <w:rFonts w:asciiTheme="minorHAnsi" w:hAnsiTheme="minorHAnsi" w:cstheme="minorHAnsi"/>
          <w:b/>
          <w:sz w:val="22"/>
          <w:szCs w:val="22"/>
        </w:rPr>
        <w:t xml:space="preserve"> wzór formularza raportu </w:t>
      </w:r>
      <w:r w:rsidRPr="00BC0E80">
        <w:rPr>
          <w:rFonts w:asciiTheme="minorHAnsi" w:hAnsiTheme="minorHAnsi" w:cstheme="minorHAnsi"/>
          <w:b/>
          <w:sz w:val="22"/>
          <w:szCs w:val="22"/>
        </w:rPr>
        <w:t>końcowego</w:t>
      </w:r>
      <w:r w:rsidR="009F1847" w:rsidRPr="00BC0E80">
        <w:rPr>
          <w:rFonts w:asciiTheme="minorHAnsi" w:hAnsiTheme="minorHAnsi" w:cstheme="minorHAnsi"/>
          <w:b/>
          <w:sz w:val="22"/>
          <w:szCs w:val="22"/>
        </w:rPr>
        <w:t xml:space="preserve"> DNSH dla przedsięwzięć realizowanych </w:t>
      </w:r>
      <w:r w:rsidRPr="00BC0E80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BC0E80">
        <w:rPr>
          <w:rFonts w:asciiTheme="minorHAnsi" w:hAnsiTheme="minorHAnsi" w:cstheme="minorHAnsi"/>
          <w:b/>
          <w:bCs/>
          <w:iCs/>
          <w:sz w:val="22"/>
          <w:szCs w:val="22"/>
        </w:rPr>
        <w:t>Krajowego Planu Odbudowy i Zwiększania Odporności</w:t>
      </w:r>
    </w:p>
    <w:p w14:paraId="11A421A3" w14:textId="77777777" w:rsidR="00A469B9" w:rsidRDefault="00A469B9"/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963"/>
        <w:gridCol w:w="4963"/>
      </w:tblGrid>
      <w:tr w:rsidR="005D2C77" w:rsidRPr="00846286" w14:paraId="74A16E47" w14:textId="77777777" w:rsidTr="00846286">
        <w:tc>
          <w:tcPr>
            <w:tcW w:w="5000" w:type="pct"/>
            <w:gridSpan w:val="2"/>
          </w:tcPr>
          <w:p w14:paraId="60AB1DC4" w14:textId="77777777" w:rsidR="005D2C77" w:rsidRPr="00846286" w:rsidRDefault="005449FF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FA1C0D8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6FF3BD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E66843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3A9A93" w14:textId="77777777" w:rsidR="005D2C77" w:rsidRPr="00846286" w:rsidRDefault="00A31EF5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Raport koń</w:t>
            </w:r>
            <w:r w:rsidR="00994077">
              <w:rPr>
                <w:rFonts w:asciiTheme="minorHAnsi" w:hAnsiTheme="minorHAnsi" w:cstheme="minorHAnsi"/>
                <w:b/>
                <w:sz w:val="40"/>
                <w:szCs w:val="40"/>
              </w:rPr>
              <w:t>c</w:t>
            </w: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owy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br/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potwierdzając</w:t>
            </w: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y</w:t>
            </w:r>
            <w:r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5D2C77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realizację Przedsięwzięcia zgodnie z zasadą </w:t>
            </w:r>
            <w:r w:rsidR="00F57646" w:rsidRPr="00846286">
              <w:rPr>
                <w:rFonts w:asciiTheme="minorHAnsi" w:hAnsiTheme="minorHAnsi" w:cstheme="minorHAnsi"/>
                <w:b/>
                <w:sz w:val="40"/>
                <w:szCs w:val="40"/>
              </w:rPr>
              <w:t>DNSH</w:t>
            </w:r>
            <w:r w:rsidR="00F57646" w:rsidRPr="00846286">
              <w:rPr>
                <w:rStyle w:val="Odwoanieprzypisudolnego"/>
                <w:rFonts w:asciiTheme="minorHAnsi" w:hAnsiTheme="minorHAnsi" w:cstheme="minorHAnsi"/>
                <w:b/>
                <w:sz w:val="40"/>
                <w:szCs w:val="40"/>
              </w:rPr>
              <w:footnoteReference w:id="4"/>
            </w:r>
          </w:p>
          <w:p w14:paraId="6D48B0C6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18B27EB0" w14:textId="77777777" w:rsidR="005D2C77" w:rsidRPr="00846286" w:rsidRDefault="005D2C77" w:rsidP="005D2C77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  <w:p w14:paraId="12B2E900" w14:textId="77777777" w:rsidR="005D2C77" w:rsidRPr="00846286" w:rsidRDefault="005D2C77" w:rsidP="00F71B81">
            <w:pPr>
              <w:pStyle w:val="Akapitzlist"/>
              <w:tabs>
                <w:tab w:val="left" w:pos="567"/>
              </w:tabs>
              <w:spacing w:before="100" w:line="24" w:lineRule="atLeast"/>
              <w:ind w:left="0"/>
              <w:jc w:val="center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0EC350F0" w14:textId="77777777" w:rsidTr="00846286">
        <w:tc>
          <w:tcPr>
            <w:tcW w:w="5000" w:type="pct"/>
            <w:gridSpan w:val="2"/>
          </w:tcPr>
          <w:p w14:paraId="70108C5B" w14:textId="77777777" w:rsidR="005D2C77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lastRenderedPageBreak/>
              <w:t>Nazwa przedsięwzięcia</w:t>
            </w:r>
            <w:r w:rsidR="00994077">
              <w:rPr>
                <w:rFonts w:asciiTheme="minorHAnsi" w:hAnsiTheme="minorHAnsi" w:cstheme="minorHAnsi"/>
                <w:bCs/>
                <w:iCs/>
              </w:rPr>
              <w:t>:</w:t>
            </w:r>
          </w:p>
          <w:p w14:paraId="45E574EC" w14:textId="77777777" w:rsidR="005D2C77" w:rsidRPr="00846286" w:rsidRDefault="004350D0" w:rsidP="00F06B88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Numer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</w:rPr>
              <w:t>WoOPW</w:t>
            </w:r>
            <w:proofErr w:type="spellEnd"/>
            <w:r w:rsidR="00994077">
              <w:rPr>
                <w:rFonts w:asciiTheme="minorHAnsi" w:hAnsiTheme="minorHAnsi" w:cstheme="minorHAnsi"/>
                <w:bCs/>
                <w:iCs/>
              </w:rPr>
              <w:t>:</w:t>
            </w:r>
          </w:p>
        </w:tc>
      </w:tr>
      <w:tr w:rsidR="005D2C77" w:rsidRPr="00846286" w14:paraId="495D60C1" w14:textId="77777777" w:rsidTr="00846286">
        <w:tc>
          <w:tcPr>
            <w:tcW w:w="2220" w:type="pct"/>
          </w:tcPr>
          <w:p w14:paraId="7604BA6F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>OOW:</w:t>
            </w:r>
            <w:r w:rsidR="00A35CCA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</w:tc>
        <w:tc>
          <w:tcPr>
            <w:tcW w:w="2780" w:type="pct"/>
          </w:tcPr>
          <w:p w14:paraId="2E713DD2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A259E" w:rsidRPr="00846286" w14:paraId="11A7F9C2" w14:textId="77777777" w:rsidTr="004F46B3">
        <w:tc>
          <w:tcPr>
            <w:tcW w:w="2220" w:type="pct"/>
          </w:tcPr>
          <w:p w14:paraId="1E55A02F" w14:textId="77777777" w:rsidR="005A259E" w:rsidRDefault="005A259E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Zakres </w:t>
            </w:r>
            <w:r w:rsidR="00687BD2">
              <w:rPr>
                <w:rFonts w:asciiTheme="minorHAnsi" w:hAnsiTheme="minorHAnsi" w:cstheme="minorHAnsi"/>
                <w:bCs/>
                <w:iCs/>
              </w:rPr>
              <w:t>przedsięwzięcia</w:t>
            </w:r>
          </w:p>
          <w:p w14:paraId="55EEFD45" w14:textId="77777777" w:rsidR="005A259E" w:rsidRPr="004F46B3" w:rsidRDefault="005A259E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/>
                <w:iCs/>
              </w:rPr>
            </w:pPr>
            <w:r w:rsidRPr="004F46B3">
              <w:rPr>
                <w:rFonts w:asciiTheme="minorHAnsi" w:hAnsiTheme="minorHAnsi" w:cstheme="minorHAnsi"/>
                <w:bCs/>
                <w:i/>
                <w:iCs/>
              </w:rPr>
              <w:t xml:space="preserve">(należy także podać informację o ew. zmianach zakresu </w:t>
            </w:r>
            <w:r w:rsidR="00687BD2">
              <w:rPr>
                <w:rFonts w:asciiTheme="minorHAnsi" w:hAnsiTheme="minorHAnsi" w:cstheme="minorHAnsi"/>
                <w:bCs/>
                <w:iCs/>
              </w:rPr>
              <w:t>przedsięwzięcia</w:t>
            </w:r>
            <w:r w:rsidR="00687BD2" w:rsidRPr="004F46B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4F46B3">
              <w:rPr>
                <w:rFonts w:asciiTheme="minorHAnsi" w:hAnsiTheme="minorHAnsi" w:cstheme="minorHAnsi"/>
                <w:bCs/>
                <w:i/>
                <w:iCs/>
              </w:rPr>
              <w:t xml:space="preserve">po podpisaniu </w:t>
            </w:r>
            <w:proofErr w:type="spellStart"/>
            <w:r w:rsidRPr="004F46B3">
              <w:rPr>
                <w:rFonts w:asciiTheme="minorHAnsi" w:hAnsiTheme="minorHAnsi" w:cstheme="minorHAnsi"/>
                <w:bCs/>
                <w:i/>
                <w:iCs/>
              </w:rPr>
              <w:t>Uo</w:t>
            </w:r>
            <w:r w:rsidR="00833BAE">
              <w:rPr>
                <w:rFonts w:asciiTheme="minorHAnsi" w:hAnsiTheme="minorHAnsi" w:cstheme="minorHAnsi"/>
                <w:bCs/>
                <w:i/>
                <w:iCs/>
              </w:rPr>
              <w:t>OPW</w:t>
            </w:r>
            <w:proofErr w:type="spellEnd"/>
            <w:r w:rsidRPr="004F46B3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2780" w:type="pct"/>
          </w:tcPr>
          <w:p w14:paraId="4C7723DF" w14:textId="77777777" w:rsidR="005A259E" w:rsidRPr="00846286" w:rsidRDefault="005A259E" w:rsidP="004F46B3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3F78F337" w14:textId="77777777" w:rsidTr="00846286">
        <w:tc>
          <w:tcPr>
            <w:tcW w:w="2220" w:type="pct"/>
          </w:tcPr>
          <w:p w14:paraId="74252F7C" w14:textId="77777777" w:rsidR="005D2C77" w:rsidRPr="00846286" w:rsidRDefault="00846286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 w:rsidRPr="007E6A8C">
              <w:rPr>
                <w:rFonts w:asciiTheme="minorHAnsi" w:hAnsiTheme="minorHAnsi" w:cstheme="minorHAnsi"/>
                <w:bCs/>
                <w:iCs/>
              </w:rPr>
              <w:t>D</w:t>
            </w:r>
            <w:r w:rsidR="005D2C77" w:rsidRPr="007E6A8C">
              <w:rPr>
                <w:rFonts w:asciiTheme="minorHAnsi" w:hAnsiTheme="minorHAnsi" w:cstheme="minorHAnsi"/>
                <w:bCs/>
                <w:iCs/>
              </w:rPr>
              <w:t xml:space="preserve">ata sporządzenia </w:t>
            </w:r>
            <w:r w:rsidR="00A31EF5" w:rsidRPr="007E6A8C">
              <w:rPr>
                <w:rFonts w:asciiTheme="minorHAnsi" w:hAnsiTheme="minorHAnsi" w:cstheme="minorHAnsi"/>
                <w:bCs/>
                <w:iCs/>
              </w:rPr>
              <w:t>raportu końcowego</w:t>
            </w:r>
          </w:p>
          <w:p w14:paraId="519BA819" w14:textId="77777777" w:rsidR="005D2C77" w:rsidRPr="00846286" w:rsidRDefault="005D2C77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5B8CB141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5837392B" w14:textId="77777777" w:rsidTr="00846286">
        <w:tc>
          <w:tcPr>
            <w:tcW w:w="2220" w:type="pct"/>
          </w:tcPr>
          <w:p w14:paraId="1E174E56" w14:textId="77777777" w:rsidR="005D2C77" w:rsidRPr="00846286" w:rsidRDefault="005D2C77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 w:rsidRPr="00846286">
              <w:rPr>
                <w:rFonts w:asciiTheme="minorHAnsi" w:hAnsiTheme="minorHAnsi" w:cstheme="minorHAnsi"/>
                <w:bCs/>
                <w:iCs/>
              </w:rPr>
              <w:t xml:space="preserve">Imię i nazwisko osoby odpowiedzialnej za przygotowanie </w:t>
            </w:r>
            <w:r w:rsidR="00285B57">
              <w:rPr>
                <w:rFonts w:asciiTheme="minorHAnsi" w:hAnsiTheme="minorHAnsi" w:cstheme="minorHAnsi"/>
                <w:bCs/>
                <w:iCs/>
              </w:rPr>
              <w:t xml:space="preserve"> raportu końcowego</w:t>
            </w:r>
          </w:p>
          <w:p w14:paraId="7F250C69" w14:textId="77777777" w:rsidR="005D2C77" w:rsidRPr="00846286" w:rsidRDefault="005D2C77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4B5A09CF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5D2C77" w:rsidRPr="00846286" w14:paraId="1845FEEC" w14:textId="77777777" w:rsidTr="00846286">
        <w:tc>
          <w:tcPr>
            <w:tcW w:w="2220" w:type="pct"/>
          </w:tcPr>
          <w:p w14:paraId="599900D5" w14:textId="77777777" w:rsidR="005D2C77" w:rsidRPr="00846286" w:rsidRDefault="00846286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</w:t>
            </w:r>
            <w:r w:rsidR="005D2C77" w:rsidRPr="00846286">
              <w:rPr>
                <w:rFonts w:asciiTheme="minorHAnsi" w:hAnsiTheme="minorHAnsi" w:cstheme="minorHAnsi"/>
                <w:bCs/>
                <w:iCs/>
              </w:rPr>
              <w:t xml:space="preserve">odpis </w:t>
            </w:r>
          </w:p>
          <w:p w14:paraId="5DC1DFE4" w14:textId="77777777" w:rsidR="005D2C77" w:rsidRPr="00846286" w:rsidRDefault="005D2C77" w:rsidP="00B214F7">
            <w:pPr>
              <w:tabs>
                <w:tab w:val="left" w:pos="567"/>
              </w:tabs>
              <w:spacing w:before="100" w:line="24" w:lineRule="atLeast"/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2780" w:type="pct"/>
          </w:tcPr>
          <w:p w14:paraId="71B718F9" w14:textId="77777777" w:rsidR="005D2C77" w:rsidRPr="00846286" w:rsidRDefault="005D2C77" w:rsidP="005D2C77">
            <w:pPr>
              <w:tabs>
                <w:tab w:val="left" w:pos="567"/>
              </w:tabs>
              <w:spacing w:before="100" w:line="24" w:lineRule="atLeast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50515DF4" w14:textId="77777777" w:rsidR="005D2C77" w:rsidRPr="00846286" w:rsidRDefault="005D2C77" w:rsidP="005D2C77">
      <w:pPr>
        <w:tabs>
          <w:tab w:val="left" w:pos="567"/>
        </w:tabs>
        <w:spacing w:before="100" w:line="24" w:lineRule="atLeast"/>
        <w:jc w:val="both"/>
        <w:rPr>
          <w:rFonts w:asciiTheme="minorHAnsi" w:hAnsiTheme="minorHAnsi" w:cstheme="minorHAnsi"/>
          <w:bCs/>
          <w:iCs/>
        </w:rPr>
      </w:pPr>
    </w:p>
    <w:p w14:paraId="5C8E38A6" w14:textId="265B3BE2" w:rsidR="009F01CF" w:rsidRPr="00BC0E80" w:rsidRDefault="00D427A1" w:rsidP="00BC0E80">
      <w:pPr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iCs/>
        </w:rPr>
      </w:pPr>
      <w:r w:rsidRPr="00BC0E80">
        <w:rPr>
          <w:rFonts w:asciiTheme="minorHAnsi" w:hAnsiTheme="minorHAnsi" w:cstheme="minorHAnsi"/>
          <w:b/>
          <w:bCs/>
          <w:iCs/>
        </w:rPr>
        <w:t xml:space="preserve">Zgodność z zasadą DNSH </w:t>
      </w:r>
      <w:r w:rsidR="00BC0E80">
        <w:rPr>
          <w:rFonts w:asciiTheme="minorHAnsi" w:hAnsiTheme="minorHAnsi" w:cstheme="minorHAnsi"/>
          <w:b/>
          <w:bCs/>
          <w:iCs/>
        </w:rPr>
        <w:t>inwestycji</w:t>
      </w:r>
      <w:r w:rsidR="00BC0E80">
        <w:rPr>
          <w:rStyle w:val="Odwoanieprzypisudolnego"/>
          <w:rFonts w:asciiTheme="minorHAnsi" w:hAnsiTheme="minorHAnsi" w:cstheme="minorHAnsi"/>
          <w:b/>
          <w:bCs/>
          <w:iCs/>
        </w:rPr>
        <w:footnoteReference w:id="5"/>
      </w:r>
      <w:r w:rsidR="00A03266" w:rsidRPr="00BC0E80">
        <w:rPr>
          <w:rFonts w:asciiTheme="minorHAnsi" w:hAnsiTheme="minorHAnsi" w:cstheme="minorHAnsi"/>
          <w:b/>
          <w:bCs/>
          <w:iCs/>
        </w:rPr>
        <w:t xml:space="preserve"> </w:t>
      </w:r>
      <w:r w:rsidR="00BC0E80">
        <w:rPr>
          <w:rFonts w:asciiTheme="minorHAnsi" w:hAnsiTheme="minorHAnsi" w:cstheme="minorHAnsi"/>
          <w:b/>
          <w:bCs/>
          <w:iCs/>
        </w:rPr>
        <w:t>…………..</w:t>
      </w:r>
      <w:r w:rsidRPr="00BC0E80">
        <w:rPr>
          <w:rFonts w:asciiTheme="minorHAnsi" w:hAnsiTheme="minorHAnsi" w:cstheme="minorHAnsi"/>
          <w:b/>
          <w:bCs/>
          <w:iCs/>
        </w:rPr>
        <w:t xml:space="preserve"> realizowanej w ramach Krajowego Planu Odbudowy i Zwiększania Odporności - wymogi w zakresie DNSH wynikające z dokumentów programowych</w:t>
      </w:r>
    </w:p>
    <w:p w14:paraId="57201E6E" w14:textId="221F4706" w:rsidR="00465D9B" w:rsidRDefault="00465D9B" w:rsidP="007E6A8C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</w:rPr>
      </w:pPr>
    </w:p>
    <w:p w14:paraId="24F47C8F" w14:textId="77777777" w:rsidR="00BC0E80" w:rsidRPr="00BC0E80" w:rsidRDefault="00BC0E80" w:rsidP="007E6A8C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</w:rPr>
      </w:pPr>
    </w:p>
    <w:p w14:paraId="063C51E8" w14:textId="3492F907" w:rsidR="00D427A1" w:rsidRPr="00BC0E80" w:rsidRDefault="00D427A1" w:rsidP="009C43AF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iCs/>
          <w:szCs w:val="28"/>
        </w:rPr>
      </w:pPr>
      <w:r w:rsidRPr="00BC0E80">
        <w:rPr>
          <w:rFonts w:asciiTheme="minorHAnsi" w:hAnsiTheme="minorHAnsi" w:cstheme="minorHAnsi"/>
          <w:b/>
          <w:bCs/>
          <w:iCs/>
          <w:szCs w:val="28"/>
        </w:rPr>
        <w:t>Z</w:t>
      </w:r>
      <w:r w:rsidRPr="00BC0E80">
        <w:rPr>
          <w:rFonts w:asciiTheme="minorHAnsi" w:eastAsia="Calibri" w:hAnsiTheme="minorHAnsi" w:cstheme="minorHAnsi"/>
          <w:b/>
          <w:bCs/>
          <w:kern w:val="20"/>
          <w:szCs w:val="28"/>
        </w:rPr>
        <w:t xml:space="preserve">godność z celami środowiskowym zasady DNSH na etapie: </w:t>
      </w:r>
      <w:r w:rsidRPr="00BC0E80">
        <w:rPr>
          <w:rFonts w:asciiTheme="minorHAnsi" w:eastAsia="Calibri" w:hAnsiTheme="minorHAnsi" w:cstheme="minorHAnsi"/>
          <w:b/>
          <w:szCs w:val="28"/>
        </w:rPr>
        <w:t xml:space="preserve">przygotowania, realizacji i eksploatacji </w:t>
      </w:r>
      <w:r w:rsidR="00895DA8" w:rsidRPr="00BC0E80">
        <w:rPr>
          <w:rFonts w:asciiTheme="minorHAnsi" w:eastAsia="Calibri" w:hAnsiTheme="minorHAnsi" w:cstheme="minorHAnsi"/>
          <w:b/>
          <w:szCs w:val="28"/>
        </w:rPr>
        <w:t xml:space="preserve">przedsięwzięcia </w:t>
      </w:r>
      <w:r w:rsidRPr="00BC0E80">
        <w:rPr>
          <w:rFonts w:asciiTheme="minorHAnsi" w:eastAsia="Calibri" w:hAnsiTheme="minorHAnsi" w:cstheme="minorHAnsi"/>
          <w:b/>
          <w:szCs w:val="28"/>
        </w:rPr>
        <w:t xml:space="preserve">zgodnie z </w:t>
      </w:r>
      <w:r w:rsidRPr="00BC0E80">
        <w:rPr>
          <w:rFonts w:asciiTheme="minorHAnsi" w:hAnsiTheme="minorHAnsi" w:cstheme="minorHAnsi"/>
          <w:b/>
          <w:bCs/>
          <w:iCs/>
          <w:szCs w:val="28"/>
        </w:rPr>
        <w:t>dokumentem: „Ocena DNSH reform i inwestycji (wiązek projektów) przedstawionych w KPO”</w:t>
      </w:r>
    </w:p>
    <w:p w14:paraId="531EF2FE" w14:textId="77777777" w:rsidR="009F01CF" w:rsidRPr="00BC0E80" w:rsidRDefault="009F01CF" w:rsidP="009F01CF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</w:rPr>
      </w:pPr>
    </w:p>
    <w:p w14:paraId="655CDF93" w14:textId="77777777" w:rsidR="000A677B" w:rsidRPr="00BC0E80" w:rsidRDefault="000A677B" w:rsidP="000A677B">
      <w:pPr>
        <w:rPr>
          <w:rFonts w:asciiTheme="minorHAnsi" w:eastAsia="Calibri" w:hAnsiTheme="minorHAnsi" w:cstheme="minorHAnsi"/>
          <w:b/>
          <w:bCs/>
          <w:kern w:val="20"/>
          <w:sz w:val="20"/>
          <w:szCs w:val="22"/>
          <w:lang w:eastAsia="en-US"/>
        </w:rPr>
      </w:pPr>
    </w:p>
    <w:p w14:paraId="36F9FA6C" w14:textId="77777777" w:rsidR="000A677B" w:rsidRPr="00846286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 xml:space="preserve">: Łagodzenie zmian klimatu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ab/>
      </w:r>
    </w:p>
    <w:p w14:paraId="2F08C9EB" w14:textId="77777777" w:rsidR="004B6DC3" w:rsidRDefault="004B6DC3" w:rsidP="00187E12">
      <w:pPr>
        <w:rPr>
          <w:rFonts w:asciiTheme="minorHAnsi" w:eastAsia="Calibri" w:hAnsiTheme="minorHAnsi" w:cstheme="minorHAnsi"/>
          <w:sz w:val="22"/>
          <w:szCs w:val="22"/>
        </w:rPr>
      </w:pPr>
    </w:p>
    <w:p w14:paraId="7F36F730" w14:textId="056843A2" w:rsidR="000A677B" w:rsidRPr="00846286" w:rsidRDefault="000A677B" w:rsidP="00187E12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Etap przygotowania </w:t>
      </w:r>
      <w:r w:rsidR="00A03266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5CB326C8" w14:textId="77777777" w:rsidTr="00B90AC4">
        <w:tc>
          <w:tcPr>
            <w:tcW w:w="5949" w:type="dxa"/>
          </w:tcPr>
          <w:p w14:paraId="7AB5DCD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2DE59C8A" w14:textId="0BF75946" w:rsidR="004B6DC3" w:rsidRDefault="004A5B8C" w:rsidP="003B792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Wykaz dowodów 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>/ dokument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ów</w:t>
            </w:r>
            <w:r w:rsidR="004B6D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potwierdzając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ych</w:t>
            </w:r>
          </w:p>
        </w:tc>
      </w:tr>
      <w:tr w:rsidR="004B6DC3" w14:paraId="0F5DEEFE" w14:textId="77777777" w:rsidTr="00B90AC4">
        <w:tc>
          <w:tcPr>
            <w:tcW w:w="5949" w:type="dxa"/>
          </w:tcPr>
          <w:p w14:paraId="5FE3BFE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F45639F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0BA3C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D96DB0B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1A65061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466655F" w14:textId="2B28877B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6403C5E2" w14:textId="77777777" w:rsidTr="004B6DC3">
        <w:tc>
          <w:tcPr>
            <w:tcW w:w="5949" w:type="dxa"/>
          </w:tcPr>
          <w:p w14:paraId="674B8F9A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8D0F996" w14:textId="77777777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156428E5" w14:textId="77777777" w:rsidTr="004B6DC3">
        <w:tc>
          <w:tcPr>
            <w:tcW w:w="5949" w:type="dxa"/>
          </w:tcPr>
          <w:p w14:paraId="7FCB597F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355AA4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4E32903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9A90CFD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E818AA5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AB0B14A" w14:textId="4CE2443D" w:rsidR="000A677B" w:rsidRPr="00846286" w:rsidRDefault="000A677B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4B6DC3" w14:paraId="079A3C58" w14:textId="77777777" w:rsidTr="00187E12">
        <w:tc>
          <w:tcPr>
            <w:tcW w:w="5949" w:type="dxa"/>
          </w:tcPr>
          <w:p w14:paraId="378E131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07F1D77" w14:textId="77777777" w:rsidR="004B6DC3" w:rsidRDefault="004A5B8C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4B6DC3" w14:paraId="754FFB55" w14:textId="77777777" w:rsidTr="00187E12">
        <w:tc>
          <w:tcPr>
            <w:tcW w:w="5949" w:type="dxa"/>
          </w:tcPr>
          <w:p w14:paraId="4309B4D7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66B70C6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2D23F82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6DB476E" w14:textId="77777777" w:rsidR="004B6DC3" w:rsidRDefault="004B6DC3" w:rsidP="00187E1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869EACF" w14:textId="77777777" w:rsidR="004B6DC3" w:rsidRDefault="004B6DC3" w:rsidP="00187E12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261D5A6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6E4E21F6" w14:textId="77777777" w:rsidR="000A677B" w:rsidRPr="00846286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Adaptacja do zmian klimatu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4679C058" w14:textId="77777777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7D4D20D" w14:textId="1F60A7BC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6F665AF2" w14:textId="77777777" w:rsidTr="002E0D5B">
        <w:tc>
          <w:tcPr>
            <w:tcW w:w="5949" w:type="dxa"/>
          </w:tcPr>
          <w:p w14:paraId="4A8B0DA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397536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A526592" w14:textId="77777777" w:rsidTr="002E0D5B">
        <w:tc>
          <w:tcPr>
            <w:tcW w:w="5949" w:type="dxa"/>
          </w:tcPr>
          <w:p w14:paraId="44BBE44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7318D6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30B5E5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2E53D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60F7A6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AD80F52" w14:textId="5A0FAD63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71D61DF9" w14:textId="77777777" w:rsidTr="002E0D5B">
        <w:tc>
          <w:tcPr>
            <w:tcW w:w="5949" w:type="dxa"/>
          </w:tcPr>
          <w:p w14:paraId="0DD09C5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709E65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CAF8DC5" w14:textId="77777777" w:rsidTr="002E0D5B">
        <w:tc>
          <w:tcPr>
            <w:tcW w:w="5949" w:type="dxa"/>
          </w:tcPr>
          <w:p w14:paraId="3E48C42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899FF3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DF80F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76299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5DE9050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6532D6C" w14:textId="267BA3DB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5F85B7C0" w14:textId="77777777" w:rsidTr="002E0D5B">
        <w:tc>
          <w:tcPr>
            <w:tcW w:w="5949" w:type="dxa"/>
          </w:tcPr>
          <w:p w14:paraId="3002525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41D9FB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80A3C1E" w14:textId="77777777" w:rsidTr="002E0D5B">
        <w:tc>
          <w:tcPr>
            <w:tcW w:w="5949" w:type="dxa"/>
          </w:tcPr>
          <w:p w14:paraId="27E7336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BAB59B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9DD23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C976BA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BB0F8FC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F4C83DC" w14:textId="77777777" w:rsidR="004B6DC3" w:rsidRPr="00846286" w:rsidRDefault="004B6DC3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556B5E1F" w14:textId="7049C9D2" w:rsidR="00D26114" w:rsidRPr="00D26114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Odpowiednie użytkowanie i ochrona zasobów wodnych i morskich</w:t>
      </w:r>
    </w:p>
    <w:p w14:paraId="1306A4E1" w14:textId="77777777" w:rsidR="00D26114" w:rsidRDefault="00D26114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00F00882" w14:textId="59D05F25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618C1451" w14:textId="77777777" w:rsidTr="002E0D5B">
        <w:tc>
          <w:tcPr>
            <w:tcW w:w="5949" w:type="dxa"/>
          </w:tcPr>
          <w:p w14:paraId="1383229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28D3D48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F66432F" w14:textId="77777777" w:rsidTr="002E0D5B">
        <w:tc>
          <w:tcPr>
            <w:tcW w:w="5949" w:type="dxa"/>
          </w:tcPr>
          <w:p w14:paraId="55F4598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A1A859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833ED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40E307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12C48F3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F77B2D" w14:textId="29DEF0F9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51EC0F1" w14:textId="77777777" w:rsidTr="002E0D5B">
        <w:tc>
          <w:tcPr>
            <w:tcW w:w="5949" w:type="dxa"/>
          </w:tcPr>
          <w:p w14:paraId="133D529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295BA7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E83EA8C" w14:textId="77777777" w:rsidTr="002E0D5B">
        <w:tc>
          <w:tcPr>
            <w:tcW w:w="5949" w:type="dxa"/>
          </w:tcPr>
          <w:p w14:paraId="77DCBE5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A7F9CF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CB5D64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6EAF34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5C9CB16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980D6BE" w14:textId="68CF54D3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3FC35A4" w14:textId="77777777" w:rsidTr="002E0D5B">
        <w:tc>
          <w:tcPr>
            <w:tcW w:w="5949" w:type="dxa"/>
          </w:tcPr>
          <w:p w14:paraId="0EBB295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D2EB5A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7E02A463" w14:textId="77777777" w:rsidTr="002E0D5B">
        <w:tc>
          <w:tcPr>
            <w:tcW w:w="5949" w:type="dxa"/>
          </w:tcPr>
          <w:p w14:paraId="3DA2AA3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46917C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EC2540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01DB05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6695F4D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379F832" w14:textId="77777777" w:rsidR="00865F7C" w:rsidRPr="00D26114" w:rsidRDefault="00865F7C" w:rsidP="00D26114">
      <w:pPr>
        <w:ind w:left="360"/>
        <w:rPr>
          <w:rFonts w:asciiTheme="minorHAnsi" w:eastAsia="Calibri" w:hAnsiTheme="minorHAnsi" w:cstheme="minorHAnsi"/>
          <w:bCs/>
          <w:kern w:val="20"/>
          <w:sz w:val="22"/>
          <w:szCs w:val="22"/>
          <w:lang w:eastAsia="en-US"/>
        </w:rPr>
      </w:pPr>
    </w:p>
    <w:p w14:paraId="09336D3C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4F24CD3" w14:textId="77777777" w:rsidR="000A677B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</w:t>
      </w:r>
      <w:r w:rsidRPr="00846286">
        <w:rPr>
          <w:rFonts w:asciiTheme="minorHAnsi" w:eastAsia="Calibri" w:hAnsiTheme="minorHAnsi" w:cstheme="minorHAnsi"/>
          <w:b/>
          <w:kern w:val="20"/>
          <w:sz w:val="22"/>
          <w:szCs w:val="22"/>
          <w:lang w:eastAsia="en-US"/>
        </w:rPr>
        <w:t>Gospodarka o obiegu zamkniętym, w tym zapobieganie powstawaniu odpadów i recykling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2E79ECB5" w14:textId="77777777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167A9C1F" w14:textId="74F610B8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F5F02B5" w14:textId="77777777" w:rsidTr="002E0D5B">
        <w:tc>
          <w:tcPr>
            <w:tcW w:w="5949" w:type="dxa"/>
          </w:tcPr>
          <w:p w14:paraId="78C405D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321B66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14C48AA" w14:textId="77777777" w:rsidTr="002E0D5B">
        <w:tc>
          <w:tcPr>
            <w:tcW w:w="5949" w:type="dxa"/>
          </w:tcPr>
          <w:p w14:paraId="4AF78E3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617406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50F5FC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9DA286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68C6E6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4748504" w14:textId="1EEC5C88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37CBB4AA" w14:textId="77777777" w:rsidTr="002E0D5B">
        <w:tc>
          <w:tcPr>
            <w:tcW w:w="5949" w:type="dxa"/>
          </w:tcPr>
          <w:p w14:paraId="451FC03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E1F09E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2CF0CA15" w14:textId="77777777" w:rsidTr="002E0D5B">
        <w:tc>
          <w:tcPr>
            <w:tcW w:w="5949" w:type="dxa"/>
          </w:tcPr>
          <w:p w14:paraId="1CDEBE3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8332EE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E9A0F6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74CEB7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C85496B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5E53C8" w14:textId="6CA68048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7EC21C37" w14:textId="77777777" w:rsidTr="002E0D5B">
        <w:tc>
          <w:tcPr>
            <w:tcW w:w="5949" w:type="dxa"/>
          </w:tcPr>
          <w:p w14:paraId="0DC0E53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3C2551D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1A3D81C2" w14:textId="77777777" w:rsidTr="002E0D5B">
        <w:tc>
          <w:tcPr>
            <w:tcW w:w="5949" w:type="dxa"/>
          </w:tcPr>
          <w:p w14:paraId="77C16C2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25E1B7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F503FE0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4AF758D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4A7B9A8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8A3520" w14:textId="77777777" w:rsidR="000A677B" w:rsidRPr="00846286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5E24F752" w14:textId="77777777" w:rsidR="000A677B" w:rsidRPr="00846286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 xml:space="preserve">Cel środowiskowy: Zapobieganie i kontrola zanieczyszczeń powietrza, wody lub ziemi 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4B30F7CE" w14:textId="77777777" w:rsidR="004B6DC3" w:rsidRPr="004B6DC3" w:rsidRDefault="004B6DC3" w:rsidP="004B6DC3">
      <w:p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309F6CB5" w14:textId="4A9430CF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C878320" w14:textId="77777777" w:rsidTr="002E0D5B">
        <w:tc>
          <w:tcPr>
            <w:tcW w:w="5949" w:type="dxa"/>
          </w:tcPr>
          <w:p w14:paraId="6F1A318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5AEBA0D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5C520107" w14:textId="77777777" w:rsidTr="002E0D5B">
        <w:tc>
          <w:tcPr>
            <w:tcW w:w="5949" w:type="dxa"/>
          </w:tcPr>
          <w:p w14:paraId="15BE1C9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95CC9DE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7B915C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853BB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0FE3FE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4E79E39" w14:textId="32214958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95F0CBC" w14:textId="77777777" w:rsidTr="002E0D5B">
        <w:tc>
          <w:tcPr>
            <w:tcW w:w="5949" w:type="dxa"/>
          </w:tcPr>
          <w:p w14:paraId="04ADC7D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19D8B33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17EADAA" w14:textId="77777777" w:rsidTr="002E0D5B">
        <w:tc>
          <w:tcPr>
            <w:tcW w:w="5949" w:type="dxa"/>
          </w:tcPr>
          <w:p w14:paraId="3E784909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96B5B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BC5DFF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12E8A5B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3D8F5BF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55899EB" w14:textId="42078E22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2FA727AB" w14:textId="77777777" w:rsidTr="002E0D5B">
        <w:tc>
          <w:tcPr>
            <w:tcW w:w="5949" w:type="dxa"/>
          </w:tcPr>
          <w:p w14:paraId="1315C99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45E2FA3F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3EE84D8A" w14:textId="77777777" w:rsidTr="002E0D5B">
        <w:tc>
          <w:tcPr>
            <w:tcW w:w="5949" w:type="dxa"/>
          </w:tcPr>
          <w:p w14:paraId="3AA98A5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52DD0F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9B5D8D7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04C6C6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0F38CF5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738D70" w14:textId="77777777" w:rsidR="004B6DC3" w:rsidRPr="004B6DC3" w:rsidRDefault="004B6DC3" w:rsidP="004B6DC3">
      <w:pPr>
        <w:pStyle w:val="Akapitzlist"/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</w:p>
    <w:p w14:paraId="4E05D408" w14:textId="77777777" w:rsidR="000A677B" w:rsidRPr="00846286" w:rsidRDefault="000A677B" w:rsidP="009C43AF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</w:pP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>Cel środowiskowy: Ochrona i odtwarzanie bioróżnorodności i ekosystemów</w:t>
      </w:r>
      <w:r w:rsidRPr="00846286">
        <w:rPr>
          <w:rFonts w:asciiTheme="minorHAnsi" w:eastAsia="Calibri" w:hAnsiTheme="minorHAnsi" w:cstheme="minorHAnsi"/>
          <w:b/>
          <w:bCs/>
          <w:kern w:val="20"/>
          <w:sz w:val="22"/>
          <w:szCs w:val="22"/>
          <w:lang w:eastAsia="en-US"/>
        </w:rPr>
        <w:tab/>
      </w:r>
    </w:p>
    <w:p w14:paraId="50A428A6" w14:textId="77777777" w:rsidR="000A677B" w:rsidRDefault="000A677B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44B837CE" w14:textId="36E48E09" w:rsidR="007B0BAF" w:rsidRPr="00846286" w:rsidRDefault="007B0BAF" w:rsidP="007B0BAF">
      <w:pPr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przygotowania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1ACF3258" w14:textId="77777777" w:rsidTr="002E0D5B">
        <w:tc>
          <w:tcPr>
            <w:tcW w:w="5949" w:type="dxa"/>
          </w:tcPr>
          <w:p w14:paraId="6A41A8F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3FBB80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02C66456" w14:textId="77777777" w:rsidTr="002E0D5B">
        <w:tc>
          <w:tcPr>
            <w:tcW w:w="5949" w:type="dxa"/>
          </w:tcPr>
          <w:p w14:paraId="19CB192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900BE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25CC52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91C6E75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003E4F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073107B" w14:textId="77777777" w:rsidR="00A469B9" w:rsidRDefault="00A469B9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94BECC3" w14:textId="7929C762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realizacji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01E53C05" w14:textId="77777777" w:rsidTr="002E0D5B">
        <w:tc>
          <w:tcPr>
            <w:tcW w:w="5949" w:type="dxa"/>
          </w:tcPr>
          <w:p w14:paraId="50C6E9E1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7A073766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CBF71F1" w14:textId="77777777" w:rsidTr="002E0D5B">
        <w:tc>
          <w:tcPr>
            <w:tcW w:w="5949" w:type="dxa"/>
          </w:tcPr>
          <w:p w14:paraId="523C37F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B3B3E98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ADD2B7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D9D4A3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78306C9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8A83DDD" w14:textId="52D2EBD1" w:rsidR="007B0BAF" w:rsidRPr="00846286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46286">
        <w:rPr>
          <w:rFonts w:asciiTheme="minorHAnsi" w:eastAsia="Calibri" w:hAnsiTheme="minorHAnsi" w:cstheme="minorHAnsi"/>
          <w:sz w:val="22"/>
          <w:szCs w:val="22"/>
        </w:rPr>
        <w:t xml:space="preserve">Etap eksploatacji </w:t>
      </w:r>
      <w:r w:rsidR="00691EB2">
        <w:rPr>
          <w:rFonts w:asciiTheme="minorHAnsi" w:eastAsia="Calibri" w:hAnsiTheme="minorHAnsi" w:cstheme="minorHAnsi"/>
          <w:sz w:val="22"/>
          <w:szCs w:val="22"/>
        </w:rPr>
        <w:t>przedsięwzięcia</w:t>
      </w:r>
      <w:r w:rsidRPr="00846286">
        <w:rPr>
          <w:rFonts w:asciiTheme="minorHAnsi" w:eastAsia="Calibr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7B0BAF" w14:paraId="4BAA0C25" w14:textId="77777777" w:rsidTr="002E0D5B">
        <w:tc>
          <w:tcPr>
            <w:tcW w:w="5949" w:type="dxa"/>
          </w:tcPr>
          <w:p w14:paraId="595A0FE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Podjęte działania</w:t>
            </w:r>
          </w:p>
        </w:tc>
        <w:tc>
          <w:tcPr>
            <w:tcW w:w="3113" w:type="dxa"/>
          </w:tcPr>
          <w:p w14:paraId="6F20780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Wykaz dowodów / dokumentów potwierdzających</w:t>
            </w:r>
          </w:p>
        </w:tc>
      </w:tr>
      <w:tr w:rsidR="007B0BAF" w14:paraId="45194016" w14:textId="77777777" w:rsidTr="002E0D5B">
        <w:tc>
          <w:tcPr>
            <w:tcW w:w="5949" w:type="dxa"/>
          </w:tcPr>
          <w:p w14:paraId="55A0D2A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5BE9AD4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466D0A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4D1F10C" w14:textId="77777777" w:rsidR="007B0BAF" w:rsidRDefault="007B0BAF" w:rsidP="002E0D5B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4BC66F4" w14:textId="77777777" w:rsidR="007B0BAF" w:rsidRDefault="007B0BAF" w:rsidP="007B0BAF">
      <w:pPr>
        <w:tabs>
          <w:tab w:val="left" w:pos="12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AC68C1C" w14:textId="77777777" w:rsidR="00D175B6" w:rsidRPr="00BC0E80" w:rsidRDefault="00D175B6" w:rsidP="000A677B">
      <w:pPr>
        <w:tabs>
          <w:tab w:val="left" w:pos="3005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</w:rPr>
      </w:pPr>
    </w:p>
    <w:p w14:paraId="2DF9F68C" w14:textId="77777777" w:rsidR="00865F7C" w:rsidRPr="00BC0E80" w:rsidRDefault="00865F7C" w:rsidP="00865F7C">
      <w:pPr>
        <w:jc w:val="both"/>
        <w:rPr>
          <w:rFonts w:asciiTheme="minorHAnsi" w:hAnsiTheme="minorHAnsi" w:cstheme="minorHAnsi"/>
        </w:rPr>
      </w:pPr>
    </w:p>
    <w:p w14:paraId="697433BF" w14:textId="77777777" w:rsidR="00D175B6" w:rsidRPr="00BC0E80" w:rsidRDefault="004F6746" w:rsidP="00D175B6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  <w:r w:rsidRPr="00BC0E80">
        <w:rPr>
          <w:rFonts w:asciiTheme="minorHAnsi" w:eastAsia="Calibri" w:hAnsiTheme="minorHAnsi" w:cstheme="minorHAnsi"/>
          <w:b/>
          <w:sz w:val="28"/>
        </w:rPr>
        <w:t>C</w:t>
      </w:r>
      <w:r w:rsidR="00D175B6" w:rsidRPr="00BC0E80">
        <w:rPr>
          <w:rFonts w:asciiTheme="minorHAnsi" w:eastAsia="Calibri" w:hAnsiTheme="minorHAnsi" w:cstheme="minorHAnsi"/>
          <w:b/>
          <w:sz w:val="28"/>
        </w:rPr>
        <w:t xml:space="preserve">. Aktualna </w:t>
      </w:r>
      <w:r w:rsidRPr="00BC0E80">
        <w:rPr>
          <w:rFonts w:asciiTheme="minorHAnsi" w:eastAsia="Calibri" w:hAnsiTheme="minorHAnsi" w:cstheme="minorHAnsi"/>
          <w:b/>
          <w:sz w:val="28"/>
        </w:rPr>
        <w:t xml:space="preserve">Metryczka </w:t>
      </w:r>
      <w:r w:rsidR="00D175B6" w:rsidRPr="00BC0E80">
        <w:rPr>
          <w:rFonts w:asciiTheme="minorHAnsi" w:eastAsia="Calibri" w:hAnsiTheme="minorHAnsi" w:cstheme="minorHAnsi"/>
          <w:b/>
          <w:sz w:val="28"/>
        </w:rPr>
        <w:t>przedsięwzięcia</w:t>
      </w:r>
    </w:p>
    <w:p w14:paraId="29F20CE4" w14:textId="77777777" w:rsidR="001B1DDE" w:rsidRPr="00BC0E80" w:rsidRDefault="001B1DDE" w:rsidP="001B1DDE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8"/>
        </w:rPr>
      </w:pPr>
    </w:p>
    <w:p w14:paraId="45E54CE3" w14:textId="77777777" w:rsidR="00AC12A1" w:rsidRPr="00BC0E80" w:rsidRDefault="00AC12A1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8"/>
        </w:rPr>
      </w:pPr>
    </w:p>
    <w:p w14:paraId="08C373F0" w14:textId="77777777" w:rsidR="00A35CCA" w:rsidRPr="00BC0E80" w:rsidRDefault="00A35CCA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8"/>
        </w:rPr>
      </w:pPr>
    </w:p>
    <w:p w14:paraId="4D437F00" w14:textId="77777777" w:rsidR="00A35CCA" w:rsidRPr="00BC0E80" w:rsidRDefault="00A35CCA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</w:p>
    <w:p w14:paraId="316C0169" w14:textId="77777777" w:rsidR="00D175B6" w:rsidRPr="00BC0E80" w:rsidRDefault="004F6746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  <w:r w:rsidRPr="00BC0E80">
        <w:rPr>
          <w:rFonts w:asciiTheme="minorHAnsi" w:eastAsia="Calibri" w:hAnsiTheme="minorHAnsi" w:cstheme="minorHAnsi"/>
          <w:b/>
          <w:sz w:val="28"/>
        </w:rPr>
        <w:lastRenderedPageBreak/>
        <w:t>D</w:t>
      </w:r>
      <w:r w:rsidR="001406B6" w:rsidRPr="00BC0E80">
        <w:rPr>
          <w:rFonts w:asciiTheme="minorHAnsi" w:eastAsia="Calibri" w:hAnsiTheme="minorHAnsi" w:cstheme="minorHAnsi"/>
          <w:b/>
          <w:sz w:val="28"/>
        </w:rPr>
        <w:t>. Deklaracje</w:t>
      </w:r>
      <w:r w:rsidR="007C6FDF" w:rsidRPr="00BC0E80">
        <w:rPr>
          <w:rFonts w:asciiTheme="minorHAnsi" w:eastAsia="Calibri" w:hAnsiTheme="minorHAnsi" w:cstheme="minorHAnsi"/>
          <w:b/>
          <w:sz w:val="28"/>
        </w:rPr>
        <w:t xml:space="preserve"> organów</w:t>
      </w:r>
      <w:r w:rsidR="00EF4E1F" w:rsidRPr="00BC0E80">
        <w:rPr>
          <w:rFonts w:asciiTheme="minorHAnsi" w:eastAsia="Calibri" w:hAnsiTheme="minorHAnsi" w:cstheme="minorHAnsi"/>
          <w:b/>
          <w:sz w:val="28"/>
        </w:rPr>
        <w:t xml:space="preserve"> </w:t>
      </w:r>
      <w:r w:rsidR="00EF4E1F" w:rsidRPr="00BC0E80">
        <w:rPr>
          <w:rFonts w:asciiTheme="minorHAnsi" w:eastAsia="Calibri" w:hAnsiTheme="minorHAnsi" w:cstheme="minorHAnsi"/>
          <w:i/>
          <w:sz w:val="28"/>
        </w:rPr>
        <w:t xml:space="preserve">(o ile dotyczy zgodnie z par. 4b </w:t>
      </w:r>
      <w:proofErr w:type="spellStart"/>
      <w:r w:rsidR="00EF4E1F" w:rsidRPr="00BC0E80">
        <w:rPr>
          <w:rFonts w:asciiTheme="minorHAnsi" w:eastAsia="Calibri" w:hAnsiTheme="minorHAnsi" w:cstheme="minorHAnsi"/>
          <w:i/>
          <w:sz w:val="28"/>
        </w:rPr>
        <w:t>UoOPW</w:t>
      </w:r>
      <w:proofErr w:type="spellEnd"/>
      <w:r w:rsidR="00EF4E1F" w:rsidRPr="00BC0E80">
        <w:rPr>
          <w:rFonts w:asciiTheme="minorHAnsi" w:eastAsia="Calibri" w:hAnsiTheme="minorHAnsi" w:cstheme="minorHAnsi"/>
          <w:i/>
          <w:sz w:val="28"/>
        </w:rPr>
        <w:t>)</w:t>
      </w:r>
    </w:p>
    <w:p w14:paraId="177EEDE4" w14:textId="77777777" w:rsidR="001406B6" w:rsidRPr="00BC0E80" w:rsidRDefault="001406B6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487"/>
        <w:gridCol w:w="2915"/>
        <w:gridCol w:w="6379"/>
      </w:tblGrid>
      <w:tr w:rsidR="00C459F7" w:rsidRPr="00BC0E80" w14:paraId="681918E0" w14:textId="77777777" w:rsidTr="003E2958">
        <w:trPr>
          <w:trHeight w:val="567"/>
        </w:trPr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90802" w14:textId="77777777" w:rsidR="00C459F7" w:rsidRPr="00BC0E80" w:rsidRDefault="00C459F7" w:rsidP="007273D4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Lp.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5402A" w14:textId="77777777" w:rsidR="00C459F7" w:rsidRPr="00BC0E80" w:rsidRDefault="00C459F7" w:rsidP="00470110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Nazwa organu wydającego deklarację Natura 2000</w:t>
            </w:r>
          </w:p>
          <w:p w14:paraId="2EEB8CCF" w14:textId="77777777" w:rsidR="00C459F7" w:rsidRPr="00BC0E80" w:rsidRDefault="00C459F7" w:rsidP="00470110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i data wydania deklaracji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1D85BD4A" w14:textId="00AD9C74" w:rsidR="00C459F7" w:rsidRPr="00BC0E80" w:rsidRDefault="00C459F7" w:rsidP="007273D4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Czy w deklaracji dla wszystkich obszarów Natura 2000 </w:t>
            </w:r>
            <w:r w:rsidR="000328F1"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uwzględniono aktualne plany zadań ochronnych (PZO) lub tymczasowe cele ochrony (TCO)</w:t>
            </w: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?</w:t>
            </w:r>
          </w:p>
          <w:p w14:paraId="2EBB7C6D" w14:textId="77777777" w:rsidR="00C459F7" w:rsidRPr="00BC0E80" w:rsidRDefault="00C459F7" w:rsidP="007273D4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</w:pPr>
          </w:p>
          <w:p w14:paraId="69A13271" w14:textId="2DCFE999" w:rsidR="00C459F7" w:rsidRPr="00BC0E80" w:rsidRDefault="0016746D" w:rsidP="00806B7A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N</w:t>
            </w:r>
            <w:r w:rsidR="00C459F7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 xml:space="preserve">ależy wypisać wszystkie obszary Natura 2000 zlokalizowane w buforze do  </w:t>
            </w:r>
            <w:r w:rsidR="00A711F2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 xml:space="preserve"> </w:t>
            </w:r>
            <w:r w:rsidR="00C459F7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5</w:t>
            </w:r>
            <w:r w:rsidR="00A711F2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 xml:space="preserve"> </w:t>
            </w:r>
            <w:r w:rsidR="00C459F7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km od przedsięwzięcia oraz daty PZO lub T</w:t>
            </w:r>
            <w:r w:rsidR="00806B7A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C</w:t>
            </w:r>
            <w:r w:rsidR="00C459F7" w:rsidRPr="00BC0E80">
              <w:rPr>
                <w:rFonts w:asciiTheme="minorHAnsi" w:hAnsiTheme="minorHAnsi" w:cstheme="minorHAnsi"/>
                <w:bCs/>
                <w:i/>
                <w:iCs/>
                <w:sz w:val="22"/>
                <w:szCs w:val="18"/>
              </w:rPr>
              <w:t>O</w:t>
            </w:r>
          </w:p>
        </w:tc>
      </w:tr>
      <w:tr w:rsidR="00C459F7" w:rsidRPr="00BC0E80" w14:paraId="7576DEEB" w14:textId="77777777" w:rsidTr="000066BC">
        <w:trPr>
          <w:trHeight w:val="567"/>
        </w:trPr>
        <w:tc>
          <w:tcPr>
            <w:tcW w:w="487" w:type="dxa"/>
            <w:shd w:val="clear" w:color="auto" w:fill="FFFFFF" w:themeFill="background1"/>
            <w:vAlign w:val="center"/>
          </w:tcPr>
          <w:p w14:paraId="25DC44EF" w14:textId="77777777" w:rsidR="00C459F7" w:rsidRPr="00BC0E80" w:rsidRDefault="00C459F7" w:rsidP="007273D4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sz w:val="22"/>
                <w:szCs w:val="18"/>
              </w:rPr>
              <w:t>1.</w:t>
            </w:r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14:paraId="0E4D4C76" w14:textId="77777777" w:rsidR="00C459F7" w:rsidRPr="00BC0E80" w:rsidRDefault="00C459F7" w:rsidP="007273D4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467AF0DB" w14:textId="77777777" w:rsidR="00C459F7" w:rsidRPr="00BC0E80" w:rsidRDefault="00C459F7" w:rsidP="007273D4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6C52C3A5" w14:textId="77777777" w:rsidR="00470110" w:rsidRPr="00BC0E80" w:rsidRDefault="00470110" w:rsidP="00CE7A06">
      <w:pPr>
        <w:spacing w:after="160" w:line="259" w:lineRule="auto"/>
        <w:rPr>
          <w:rFonts w:asciiTheme="minorHAnsi" w:eastAsia="Calibri" w:hAnsiTheme="minorHAnsi" w:cstheme="minorHAnsi"/>
          <w:b/>
          <w:sz w:val="36"/>
        </w:rPr>
      </w:pPr>
    </w:p>
    <w:tbl>
      <w:tblPr>
        <w:tblStyle w:val="Tabela-Siatka"/>
        <w:tblW w:w="9781" w:type="dxa"/>
        <w:tblInd w:w="-572" w:type="dxa"/>
        <w:tblLook w:val="04A0" w:firstRow="1" w:lastRow="0" w:firstColumn="1" w:lastColumn="0" w:noHBand="0" w:noVBand="1"/>
      </w:tblPr>
      <w:tblGrid>
        <w:gridCol w:w="487"/>
        <w:gridCol w:w="2915"/>
        <w:gridCol w:w="6379"/>
      </w:tblGrid>
      <w:tr w:rsidR="00C459F7" w:rsidRPr="00BC0E80" w14:paraId="4A4C806F" w14:textId="77777777" w:rsidTr="007375FE">
        <w:trPr>
          <w:trHeight w:val="567"/>
        </w:trPr>
        <w:tc>
          <w:tcPr>
            <w:tcW w:w="4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88EE5" w14:textId="77777777" w:rsidR="00C459F7" w:rsidRPr="00BC0E80" w:rsidRDefault="00C459F7" w:rsidP="002E0D5B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Lp.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ECE12" w14:textId="77777777" w:rsidR="00C459F7" w:rsidRPr="00BC0E80" w:rsidRDefault="00C459F7" w:rsidP="00C459F7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Nazwa dokumentu </w:t>
            </w:r>
            <w:r w:rsidRPr="00BC0E80">
              <w:rPr>
                <w:rFonts w:asciiTheme="minorHAnsi" w:hAnsiTheme="minorHAnsi" w:cstheme="minorHAnsi"/>
                <w:sz w:val="22"/>
                <w:szCs w:val="18"/>
              </w:rPr>
              <w:t>(informacja wodna / pozwolenie wodnoprawne/ ocena wodnoprawna)</w:t>
            </w:r>
          </w:p>
          <w:p w14:paraId="2E344B14" w14:textId="77777777" w:rsidR="00C459F7" w:rsidRPr="00BC0E80" w:rsidRDefault="00C459F7" w:rsidP="00C459F7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Nazwa organu </w:t>
            </w:r>
          </w:p>
          <w:p w14:paraId="2730FD22" w14:textId="77777777" w:rsidR="00C459F7" w:rsidRPr="00BC0E80" w:rsidRDefault="00C459F7" w:rsidP="00C459F7">
            <w:pPr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Data 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1D6BC40A" w14:textId="77777777" w:rsidR="00C459F7" w:rsidRPr="00BC0E80" w:rsidRDefault="00C459F7" w:rsidP="002E0D5B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Zakres przedsięwzięcia</w:t>
            </w:r>
            <w:r w:rsidR="00A711F2"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>,</w:t>
            </w:r>
            <w:r w:rsidRPr="00BC0E80">
              <w:rPr>
                <w:rFonts w:asciiTheme="minorHAnsi" w:hAnsiTheme="minorHAnsi" w:cstheme="minorHAnsi"/>
                <w:b/>
                <w:sz w:val="22"/>
                <w:szCs w:val="18"/>
              </w:rPr>
              <w:t xml:space="preserve"> którego dotyczy dokument</w:t>
            </w:r>
          </w:p>
        </w:tc>
      </w:tr>
      <w:tr w:rsidR="00C459F7" w:rsidRPr="00BC0E80" w14:paraId="580FFB26" w14:textId="77777777" w:rsidTr="0030600B">
        <w:trPr>
          <w:trHeight w:val="567"/>
        </w:trPr>
        <w:tc>
          <w:tcPr>
            <w:tcW w:w="487" w:type="dxa"/>
            <w:shd w:val="clear" w:color="auto" w:fill="FFFFFF" w:themeFill="background1"/>
            <w:vAlign w:val="center"/>
          </w:tcPr>
          <w:p w14:paraId="73E80321" w14:textId="77777777" w:rsidR="00C459F7" w:rsidRPr="00BC0E80" w:rsidRDefault="00C459F7" w:rsidP="002E0D5B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BC0E80">
              <w:rPr>
                <w:rFonts w:asciiTheme="minorHAnsi" w:hAnsiTheme="minorHAnsi" w:cstheme="minorHAnsi"/>
                <w:sz w:val="22"/>
                <w:szCs w:val="18"/>
              </w:rPr>
              <w:t>1.</w:t>
            </w:r>
          </w:p>
        </w:tc>
        <w:tc>
          <w:tcPr>
            <w:tcW w:w="2915" w:type="dxa"/>
            <w:shd w:val="clear" w:color="auto" w:fill="FFFFFF" w:themeFill="background1"/>
            <w:vAlign w:val="center"/>
          </w:tcPr>
          <w:p w14:paraId="26CCFCE7" w14:textId="77777777" w:rsidR="00C459F7" w:rsidRPr="00BC0E80" w:rsidRDefault="00C459F7" w:rsidP="002E0D5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6379" w:type="dxa"/>
            <w:vAlign w:val="center"/>
          </w:tcPr>
          <w:p w14:paraId="210F03C2" w14:textId="77777777" w:rsidR="00C459F7" w:rsidRPr="00BC0E80" w:rsidRDefault="00C459F7" w:rsidP="002E0D5B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7822BA31" w14:textId="77777777" w:rsidR="00806B7A" w:rsidRPr="00BC0E80" w:rsidRDefault="00806B7A" w:rsidP="009A7BC8">
      <w:pPr>
        <w:tabs>
          <w:tab w:val="left" w:pos="120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8"/>
        </w:rPr>
      </w:pPr>
    </w:p>
    <w:p w14:paraId="674DDE63" w14:textId="77777777" w:rsidR="00F65A54" w:rsidRPr="00C9209D" w:rsidRDefault="00F65A54">
      <w:pPr>
        <w:rPr>
          <w:rFonts w:asciiTheme="minorHAnsi" w:hAnsiTheme="minorHAnsi" w:cstheme="minorHAnsi"/>
          <w:szCs w:val="22"/>
        </w:rPr>
      </w:pPr>
    </w:p>
    <w:sectPr w:rsidR="00F65A54" w:rsidRPr="00C9209D" w:rsidSect="000A6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FD9B6F" w16cex:dateUtc="2026-03-24T08:43:00Z"/>
  <w16cex:commentExtensible w16cex:durableId="494C8DD7" w16cex:dateUtc="2026-03-24T08:44:00Z"/>
  <w16cex:commentExtensible w16cex:durableId="70F39116" w16cex:dateUtc="2026-03-24T08:47:00Z"/>
  <w16cex:commentExtensible w16cex:durableId="03C22A91" w16cex:dateUtc="2026-03-24T08:55:00Z"/>
  <w16cex:commentExtensible w16cex:durableId="667A94C4" w16cex:dateUtc="2026-03-24T08:57:00Z"/>
  <w16cex:commentExtensible w16cex:durableId="48887E42" w16cex:dateUtc="2026-03-24T09:01:00Z"/>
  <w16cex:commentExtensible w16cex:durableId="515F74D7" w16cex:dateUtc="2026-03-24T09:05:00Z"/>
  <w16cex:commentExtensible w16cex:durableId="6D329F5A" w16cex:dateUtc="2026-03-24T09:11:00Z"/>
  <w16cex:commentExtensible w16cex:durableId="37E8B02E" w16cex:dateUtc="2026-03-24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C48494" w16cid:durableId="6BFD9B6F"/>
  <w16cid:commentId w16cid:paraId="7FEAF976" w16cid:durableId="494C8DD7"/>
  <w16cid:commentId w16cid:paraId="4ABAB811" w16cid:durableId="70F39116"/>
  <w16cid:commentId w16cid:paraId="7F92857C" w16cid:durableId="03C22A91"/>
  <w16cid:commentId w16cid:paraId="4E32EEDB" w16cid:durableId="667A94C4"/>
  <w16cid:commentId w16cid:paraId="75ADE45A" w16cid:durableId="48887E42"/>
  <w16cid:commentId w16cid:paraId="2A917FC7" w16cid:durableId="515F74D7"/>
  <w16cid:commentId w16cid:paraId="6F9382FB" w16cid:durableId="6D329F5A"/>
  <w16cid:commentId w16cid:paraId="08F498A6" w16cid:durableId="37E8B0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33D37" w14:textId="77777777" w:rsidR="00804A09" w:rsidRDefault="00804A09" w:rsidP="00E12856">
      <w:r>
        <w:separator/>
      </w:r>
    </w:p>
  </w:endnote>
  <w:endnote w:type="continuationSeparator" w:id="0">
    <w:p w14:paraId="3A186BE7" w14:textId="77777777" w:rsidR="00804A09" w:rsidRDefault="00804A09" w:rsidP="00E1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B9449" w14:textId="77777777" w:rsidR="00804A09" w:rsidRDefault="00804A09" w:rsidP="00E12856">
      <w:r>
        <w:separator/>
      </w:r>
    </w:p>
  </w:footnote>
  <w:footnote w:type="continuationSeparator" w:id="0">
    <w:p w14:paraId="0D58E9C9" w14:textId="77777777" w:rsidR="00804A09" w:rsidRDefault="00804A09" w:rsidP="00E12856">
      <w:r>
        <w:continuationSeparator/>
      </w:r>
    </w:p>
  </w:footnote>
  <w:footnote w:id="1">
    <w:p w14:paraId="39A94A71" w14:textId="16F9BB4F" w:rsidR="004F7DF6" w:rsidRPr="00223F72" w:rsidRDefault="004F7DF6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223F7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223F72">
        <w:rPr>
          <w:rFonts w:asciiTheme="minorHAnsi" w:hAnsiTheme="minorHAnsi" w:cstheme="minorHAnsi"/>
          <w:u w:val="none"/>
        </w:rPr>
        <w:t xml:space="preserve"> Każda </w:t>
      </w:r>
      <w:r w:rsidRPr="00223F72">
        <w:rPr>
          <w:rFonts w:asciiTheme="minorHAnsi" w:hAnsiTheme="minorHAnsi" w:cstheme="minorHAnsi"/>
          <w:b/>
          <w:bCs/>
          <w:u w:val="none"/>
        </w:rPr>
        <w:t>ocena zgodności z zasadą DNSH</w:t>
      </w:r>
      <w:r w:rsidRPr="00223F72">
        <w:rPr>
          <w:rFonts w:asciiTheme="minorHAnsi" w:hAnsiTheme="minorHAnsi" w:cstheme="minorHAnsi"/>
          <w:u w:val="none"/>
        </w:rPr>
        <w:t xml:space="preserve"> jest inna, ponieważ jest wynikiem analizy specyficznych cech inwestycji oraz unikalnych uwarunkowań przyrodniczych i społecznych miejsca jej realizacji. Jest to </w:t>
      </w:r>
      <w:proofErr w:type="spellStart"/>
      <w:r w:rsidRPr="00223F72">
        <w:rPr>
          <w:rFonts w:asciiTheme="minorHAnsi" w:hAnsiTheme="minorHAnsi" w:cstheme="minorHAnsi"/>
          <w:u w:val="none"/>
        </w:rPr>
        <w:t>analgiczne</w:t>
      </w:r>
      <w:proofErr w:type="spellEnd"/>
      <w:r w:rsidRPr="00223F72">
        <w:rPr>
          <w:rFonts w:asciiTheme="minorHAnsi" w:hAnsiTheme="minorHAnsi" w:cstheme="minorHAnsi"/>
          <w:u w:val="none"/>
        </w:rPr>
        <w:t xml:space="preserve"> jak dla ocen oddziaływania na środowisko. Zatem kwestie te należy mieć na uwadze przy </w:t>
      </w:r>
      <w:proofErr w:type="spellStart"/>
      <w:r w:rsidRPr="00223F72">
        <w:rPr>
          <w:rFonts w:asciiTheme="minorHAnsi" w:hAnsiTheme="minorHAnsi" w:cstheme="minorHAnsi"/>
          <w:u w:val="none"/>
        </w:rPr>
        <w:t>opraowaniu</w:t>
      </w:r>
      <w:proofErr w:type="spellEnd"/>
      <w:r w:rsidRPr="00223F72">
        <w:rPr>
          <w:rFonts w:asciiTheme="minorHAnsi" w:hAnsiTheme="minorHAnsi" w:cstheme="minorHAnsi"/>
          <w:u w:val="none"/>
        </w:rPr>
        <w:t xml:space="preserve"> niniejszego raportu</w:t>
      </w:r>
    </w:p>
  </w:footnote>
  <w:footnote w:id="2">
    <w:p w14:paraId="102BD29B" w14:textId="0DA1AA97" w:rsidR="00223F72" w:rsidRPr="00223F72" w:rsidRDefault="00223F72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223F7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223F72">
        <w:rPr>
          <w:rFonts w:asciiTheme="minorHAnsi" w:hAnsiTheme="minorHAnsi" w:cstheme="minorHAnsi"/>
          <w:u w:val="none"/>
        </w:rPr>
        <w:t xml:space="preserve"> o ile </w:t>
      </w:r>
      <w:proofErr w:type="spellStart"/>
      <w:r w:rsidRPr="00223F72">
        <w:rPr>
          <w:rFonts w:asciiTheme="minorHAnsi" w:hAnsiTheme="minorHAnsi" w:cstheme="minorHAnsi"/>
          <w:u w:val="none"/>
          <w:lang w:val="pl-PL"/>
        </w:rPr>
        <w:t>wyogi</w:t>
      </w:r>
      <w:proofErr w:type="spellEnd"/>
      <w:r w:rsidRPr="00223F72">
        <w:rPr>
          <w:rFonts w:asciiTheme="minorHAnsi" w:hAnsiTheme="minorHAnsi" w:cstheme="minorHAnsi"/>
          <w:u w:val="none"/>
          <w:lang w:val="pl-PL"/>
        </w:rPr>
        <w:t xml:space="preserve"> środowiskowe </w:t>
      </w:r>
      <w:r w:rsidRPr="00223F72">
        <w:rPr>
          <w:rFonts w:asciiTheme="minorHAnsi" w:hAnsiTheme="minorHAnsi" w:cstheme="minorHAnsi"/>
          <w:u w:val="none"/>
        </w:rPr>
        <w:t>są określone dla danego typu przedsięwzięcia</w:t>
      </w:r>
    </w:p>
  </w:footnote>
  <w:footnote w:id="3">
    <w:p w14:paraId="1E268E08" w14:textId="2F06D01B" w:rsidR="00223F72" w:rsidRPr="00223F72" w:rsidRDefault="00223F72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223F72">
        <w:rPr>
          <w:rStyle w:val="Odwoanieprzypisudolnego"/>
          <w:rFonts w:asciiTheme="minorHAnsi" w:hAnsiTheme="minorHAnsi" w:cstheme="minorHAnsi"/>
          <w:u w:val="none"/>
        </w:rPr>
        <w:footnoteRef/>
      </w:r>
      <w:r w:rsidRPr="00223F72">
        <w:rPr>
          <w:rFonts w:asciiTheme="minorHAnsi" w:hAnsiTheme="minorHAnsi" w:cstheme="minorHAnsi"/>
          <w:u w:val="none"/>
        </w:rPr>
        <w:t xml:space="preserve"> </w:t>
      </w:r>
      <w:hyperlink r:id="rId1" w:history="1">
        <w:r w:rsidRPr="00223F72">
          <w:rPr>
            <w:rStyle w:val="Hipercze"/>
            <w:rFonts w:asciiTheme="minorHAnsi" w:hAnsiTheme="minorHAnsi" w:cstheme="minorHAnsi"/>
          </w:rPr>
          <w:t>https://www.kpo.gov.pl/strony/o-kpo/dla-instytucji/dokumenty/dnsh/</w:t>
        </w:r>
      </w:hyperlink>
      <w:r w:rsidRPr="00223F72">
        <w:rPr>
          <w:rFonts w:asciiTheme="minorHAnsi" w:hAnsiTheme="minorHAnsi" w:cstheme="minorHAnsi"/>
          <w:u w:val="none"/>
          <w:lang w:val="pl-PL"/>
        </w:rPr>
        <w:t xml:space="preserve"> </w:t>
      </w:r>
    </w:p>
  </w:footnote>
  <w:footnote w:id="4">
    <w:p w14:paraId="6FC22225" w14:textId="26487819" w:rsidR="00F57646" w:rsidRPr="00CE0B3C" w:rsidRDefault="00F57646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CE0B3C">
        <w:rPr>
          <w:rStyle w:val="Odwoanieprzypisudolnego"/>
          <w:rFonts w:asciiTheme="minorHAnsi" w:hAnsiTheme="minorHAnsi" w:cstheme="minorHAnsi"/>
          <w:u w:val="none"/>
        </w:rPr>
        <w:footnoteRef/>
      </w:r>
      <w:r w:rsidRPr="00CE0B3C">
        <w:rPr>
          <w:rFonts w:asciiTheme="minorHAnsi" w:hAnsiTheme="minorHAnsi" w:cstheme="minorHAnsi"/>
          <w:u w:val="none"/>
        </w:rPr>
        <w:t xml:space="preserve"> </w:t>
      </w:r>
      <w:r w:rsidRPr="00CE0B3C">
        <w:rPr>
          <w:rFonts w:asciiTheme="minorHAnsi" w:hAnsiTheme="minorHAnsi" w:cstheme="minorHAnsi"/>
          <w:u w:val="none"/>
          <w:lang w:val="pl-PL"/>
        </w:rPr>
        <w:t xml:space="preserve">zasada „nie czyń poważnych szkód”, o której mowa w par. 4c </w:t>
      </w:r>
      <w:proofErr w:type="spellStart"/>
      <w:r w:rsidR="00337A15">
        <w:rPr>
          <w:rFonts w:asciiTheme="minorHAnsi" w:hAnsiTheme="minorHAnsi" w:cstheme="minorHAnsi"/>
          <w:u w:val="none"/>
          <w:lang w:val="pl-PL"/>
        </w:rPr>
        <w:t>UoOPW</w:t>
      </w:r>
      <w:proofErr w:type="spellEnd"/>
    </w:p>
  </w:footnote>
  <w:footnote w:id="5">
    <w:p w14:paraId="1515017B" w14:textId="12BD3F66" w:rsidR="00BC0E80" w:rsidRPr="00BC0E80" w:rsidRDefault="00BC0E80">
      <w:pPr>
        <w:pStyle w:val="Tekstprzypisudolnego"/>
        <w:rPr>
          <w:rFonts w:asciiTheme="minorHAnsi" w:hAnsiTheme="minorHAnsi" w:cstheme="minorHAnsi"/>
          <w:u w:val="none"/>
          <w:lang w:val="pl-PL"/>
        </w:rPr>
      </w:pPr>
      <w:r w:rsidRPr="00BC0E80">
        <w:rPr>
          <w:rStyle w:val="Odwoanieprzypisudolnego"/>
          <w:rFonts w:asciiTheme="minorHAnsi" w:hAnsiTheme="minorHAnsi" w:cstheme="minorHAnsi"/>
          <w:u w:val="none"/>
        </w:rPr>
        <w:footnoteRef/>
      </w:r>
      <w:r w:rsidRPr="00BC0E80">
        <w:rPr>
          <w:rFonts w:asciiTheme="minorHAnsi" w:hAnsiTheme="minorHAnsi" w:cstheme="minorHAnsi"/>
          <w:u w:val="none"/>
        </w:rPr>
        <w:t xml:space="preserve"> </w:t>
      </w:r>
      <w:r w:rsidRPr="00BC0E80">
        <w:rPr>
          <w:rFonts w:asciiTheme="minorHAnsi" w:hAnsiTheme="minorHAnsi" w:cstheme="minorHAnsi"/>
          <w:bCs/>
          <w:iCs/>
          <w:u w:val="none"/>
        </w:rPr>
        <w:t xml:space="preserve">należy wpisać odpowiedni numer typu inwestycji z dokumentu: </w:t>
      </w:r>
      <w:hyperlink r:id="rId2" w:history="1">
        <w:r w:rsidRPr="009D43CD">
          <w:rPr>
            <w:rStyle w:val="Hipercze"/>
            <w:rFonts w:asciiTheme="minorHAnsi" w:hAnsiTheme="minorHAnsi" w:cstheme="minorHAnsi"/>
            <w:bCs/>
            <w:iCs/>
          </w:rPr>
          <w:t>https://www.kpo.gov.pl/media/143982/1.pdf</w:t>
        </w:r>
      </w:hyperlink>
      <w:r>
        <w:rPr>
          <w:rFonts w:asciiTheme="minorHAnsi" w:hAnsiTheme="minorHAnsi" w:cstheme="minorHAnsi"/>
          <w:bCs/>
          <w:iCs/>
          <w:u w:val="none"/>
          <w:lang w:val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7904"/>
    <w:multiLevelType w:val="hybridMultilevel"/>
    <w:tmpl w:val="238E6C44"/>
    <w:lvl w:ilvl="0" w:tplc="0415000F">
      <w:start w:val="1"/>
      <w:numFmt w:val="decimal"/>
      <w:lvlText w:val="%1."/>
      <w:lvlJc w:val="left"/>
      <w:pPr>
        <w:ind w:left="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505" w:hanging="180"/>
      </w:pPr>
    </w:lvl>
    <w:lvl w:ilvl="3" w:tplc="0415000F" w:tentative="1">
      <w:start w:val="1"/>
      <w:numFmt w:val="decimal"/>
      <w:lvlText w:val="%4."/>
      <w:lvlJc w:val="left"/>
      <w:pPr>
        <w:ind w:left="2225" w:hanging="360"/>
      </w:pPr>
    </w:lvl>
    <w:lvl w:ilvl="4" w:tplc="04150019" w:tentative="1">
      <w:start w:val="1"/>
      <w:numFmt w:val="lowerLetter"/>
      <w:lvlText w:val="%5."/>
      <w:lvlJc w:val="left"/>
      <w:pPr>
        <w:ind w:left="2945" w:hanging="360"/>
      </w:pPr>
    </w:lvl>
    <w:lvl w:ilvl="5" w:tplc="0415001B" w:tentative="1">
      <w:start w:val="1"/>
      <w:numFmt w:val="lowerRoman"/>
      <w:lvlText w:val="%6."/>
      <w:lvlJc w:val="right"/>
      <w:pPr>
        <w:ind w:left="3665" w:hanging="180"/>
      </w:pPr>
    </w:lvl>
    <w:lvl w:ilvl="6" w:tplc="0415000F" w:tentative="1">
      <w:start w:val="1"/>
      <w:numFmt w:val="decimal"/>
      <w:lvlText w:val="%7."/>
      <w:lvlJc w:val="left"/>
      <w:pPr>
        <w:ind w:left="4385" w:hanging="360"/>
      </w:pPr>
    </w:lvl>
    <w:lvl w:ilvl="7" w:tplc="04150019" w:tentative="1">
      <w:start w:val="1"/>
      <w:numFmt w:val="lowerLetter"/>
      <w:lvlText w:val="%8."/>
      <w:lvlJc w:val="left"/>
      <w:pPr>
        <w:ind w:left="5105" w:hanging="360"/>
      </w:pPr>
    </w:lvl>
    <w:lvl w:ilvl="8" w:tplc="0415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1" w15:restartNumberingAfterBreak="0">
    <w:nsid w:val="11103904"/>
    <w:multiLevelType w:val="hybridMultilevel"/>
    <w:tmpl w:val="37785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2D4B"/>
    <w:multiLevelType w:val="hybridMultilevel"/>
    <w:tmpl w:val="8ED27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80C91"/>
    <w:multiLevelType w:val="hybridMultilevel"/>
    <w:tmpl w:val="B2B68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B6BD6"/>
    <w:multiLevelType w:val="hybridMultilevel"/>
    <w:tmpl w:val="A3AA2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DF303E"/>
    <w:multiLevelType w:val="hybridMultilevel"/>
    <w:tmpl w:val="119E5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6549F"/>
    <w:multiLevelType w:val="hybridMultilevel"/>
    <w:tmpl w:val="CCD8F838"/>
    <w:lvl w:ilvl="0" w:tplc="FFB212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D292A"/>
    <w:multiLevelType w:val="hybridMultilevel"/>
    <w:tmpl w:val="C3FAC0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33700"/>
    <w:multiLevelType w:val="hybridMultilevel"/>
    <w:tmpl w:val="CCD8F8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04B8D"/>
    <w:multiLevelType w:val="hybridMultilevel"/>
    <w:tmpl w:val="3DEAC29E"/>
    <w:lvl w:ilvl="0" w:tplc="89F4D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44"/>
    <w:rsid w:val="00012E3A"/>
    <w:rsid w:val="00022928"/>
    <w:rsid w:val="0002647A"/>
    <w:rsid w:val="000328F1"/>
    <w:rsid w:val="000345D5"/>
    <w:rsid w:val="00045AD1"/>
    <w:rsid w:val="00067432"/>
    <w:rsid w:val="000757BF"/>
    <w:rsid w:val="00076F2C"/>
    <w:rsid w:val="000821FF"/>
    <w:rsid w:val="00087BD6"/>
    <w:rsid w:val="00095AEA"/>
    <w:rsid w:val="000A677B"/>
    <w:rsid w:val="000C27FB"/>
    <w:rsid w:val="000C68AD"/>
    <w:rsid w:val="000D5448"/>
    <w:rsid w:val="000E7D8C"/>
    <w:rsid w:val="000F042C"/>
    <w:rsid w:val="000F0F3A"/>
    <w:rsid w:val="000F60AF"/>
    <w:rsid w:val="000F62AD"/>
    <w:rsid w:val="00101A8C"/>
    <w:rsid w:val="0013210A"/>
    <w:rsid w:val="00134245"/>
    <w:rsid w:val="001406B6"/>
    <w:rsid w:val="0014295D"/>
    <w:rsid w:val="001528DA"/>
    <w:rsid w:val="0016746D"/>
    <w:rsid w:val="001952A8"/>
    <w:rsid w:val="0019570D"/>
    <w:rsid w:val="00197B3B"/>
    <w:rsid w:val="001B1DDE"/>
    <w:rsid w:val="001B306E"/>
    <w:rsid w:val="001C2850"/>
    <w:rsid w:val="001D43A6"/>
    <w:rsid w:val="001D63FD"/>
    <w:rsid w:val="001D6982"/>
    <w:rsid w:val="002178AD"/>
    <w:rsid w:val="00223F72"/>
    <w:rsid w:val="00244655"/>
    <w:rsid w:val="00253EB3"/>
    <w:rsid w:val="0025524C"/>
    <w:rsid w:val="00285B57"/>
    <w:rsid w:val="00286487"/>
    <w:rsid w:val="002877B8"/>
    <w:rsid w:val="0029420B"/>
    <w:rsid w:val="002B3DCA"/>
    <w:rsid w:val="002B69CC"/>
    <w:rsid w:val="002C554A"/>
    <w:rsid w:val="002C5F49"/>
    <w:rsid w:val="002E284B"/>
    <w:rsid w:val="00302ACE"/>
    <w:rsid w:val="00337A15"/>
    <w:rsid w:val="00351E4C"/>
    <w:rsid w:val="0037658F"/>
    <w:rsid w:val="00392DCB"/>
    <w:rsid w:val="003938C2"/>
    <w:rsid w:val="003A357B"/>
    <w:rsid w:val="003B1228"/>
    <w:rsid w:val="003B7921"/>
    <w:rsid w:val="003C7D26"/>
    <w:rsid w:val="003E00EF"/>
    <w:rsid w:val="003E6DBB"/>
    <w:rsid w:val="003F51E4"/>
    <w:rsid w:val="003F756F"/>
    <w:rsid w:val="00423A62"/>
    <w:rsid w:val="004350D0"/>
    <w:rsid w:val="00446EDB"/>
    <w:rsid w:val="00465D9B"/>
    <w:rsid w:val="00470110"/>
    <w:rsid w:val="00492BA3"/>
    <w:rsid w:val="00494971"/>
    <w:rsid w:val="004A1B83"/>
    <w:rsid w:val="004A5B8C"/>
    <w:rsid w:val="004A6119"/>
    <w:rsid w:val="004B6DC3"/>
    <w:rsid w:val="004C50CC"/>
    <w:rsid w:val="004E4A98"/>
    <w:rsid w:val="004E6064"/>
    <w:rsid w:val="004E6D99"/>
    <w:rsid w:val="004F6746"/>
    <w:rsid w:val="004F7DF6"/>
    <w:rsid w:val="00527A7C"/>
    <w:rsid w:val="00534AA0"/>
    <w:rsid w:val="005449FF"/>
    <w:rsid w:val="005456DE"/>
    <w:rsid w:val="00546E88"/>
    <w:rsid w:val="0055516A"/>
    <w:rsid w:val="00564C02"/>
    <w:rsid w:val="00565695"/>
    <w:rsid w:val="005927B1"/>
    <w:rsid w:val="005A259E"/>
    <w:rsid w:val="005A3601"/>
    <w:rsid w:val="005B6796"/>
    <w:rsid w:val="005C3AD5"/>
    <w:rsid w:val="005D2C77"/>
    <w:rsid w:val="005E27F4"/>
    <w:rsid w:val="005F24AD"/>
    <w:rsid w:val="005F4F6E"/>
    <w:rsid w:val="005F546F"/>
    <w:rsid w:val="006070FC"/>
    <w:rsid w:val="00611729"/>
    <w:rsid w:val="00640692"/>
    <w:rsid w:val="00671F0C"/>
    <w:rsid w:val="00672FD1"/>
    <w:rsid w:val="00681113"/>
    <w:rsid w:val="00681F09"/>
    <w:rsid w:val="00687BD2"/>
    <w:rsid w:val="00691EB2"/>
    <w:rsid w:val="006A20F2"/>
    <w:rsid w:val="006A51E8"/>
    <w:rsid w:val="006E36BD"/>
    <w:rsid w:val="006E4762"/>
    <w:rsid w:val="007002DC"/>
    <w:rsid w:val="007036A3"/>
    <w:rsid w:val="00725B81"/>
    <w:rsid w:val="00731487"/>
    <w:rsid w:val="00760F9E"/>
    <w:rsid w:val="0077576D"/>
    <w:rsid w:val="007B0BAF"/>
    <w:rsid w:val="007C6FDF"/>
    <w:rsid w:val="007E4DD1"/>
    <w:rsid w:val="007E6A8C"/>
    <w:rsid w:val="00804A09"/>
    <w:rsid w:val="00806B7A"/>
    <w:rsid w:val="00817C82"/>
    <w:rsid w:val="00823F19"/>
    <w:rsid w:val="00833BAE"/>
    <w:rsid w:val="0083430E"/>
    <w:rsid w:val="00843BF1"/>
    <w:rsid w:val="008459E1"/>
    <w:rsid w:val="00846286"/>
    <w:rsid w:val="00850CAB"/>
    <w:rsid w:val="00862A75"/>
    <w:rsid w:val="00864355"/>
    <w:rsid w:val="00865F7C"/>
    <w:rsid w:val="008711AD"/>
    <w:rsid w:val="0087739F"/>
    <w:rsid w:val="00895DA8"/>
    <w:rsid w:val="008A7031"/>
    <w:rsid w:val="008C268D"/>
    <w:rsid w:val="008E7B3E"/>
    <w:rsid w:val="00903441"/>
    <w:rsid w:val="00925C02"/>
    <w:rsid w:val="00930A9F"/>
    <w:rsid w:val="00941BA8"/>
    <w:rsid w:val="009438B0"/>
    <w:rsid w:val="00943E7C"/>
    <w:rsid w:val="00944F1C"/>
    <w:rsid w:val="00954719"/>
    <w:rsid w:val="009566CD"/>
    <w:rsid w:val="009637A0"/>
    <w:rsid w:val="00994077"/>
    <w:rsid w:val="00994DC4"/>
    <w:rsid w:val="009A3C4E"/>
    <w:rsid w:val="009A7BC8"/>
    <w:rsid w:val="009B3C20"/>
    <w:rsid w:val="009C3F1C"/>
    <w:rsid w:val="009C43AF"/>
    <w:rsid w:val="009C7EC7"/>
    <w:rsid w:val="009E0C6B"/>
    <w:rsid w:val="009F01CF"/>
    <w:rsid w:val="009F120F"/>
    <w:rsid w:val="009F1847"/>
    <w:rsid w:val="00A03266"/>
    <w:rsid w:val="00A04D6B"/>
    <w:rsid w:val="00A055E1"/>
    <w:rsid w:val="00A1468C"/>
    <w:rsid w:val="00A31EF5"/>
    <w:rsid w:val="00A35CCA"/>
    <w:rsid w:val="00A4098F"/>
    <w:rsid w:val="00A469B9"/>
    <w:rsid w:val="00A471F1"/>
    <w:rsid w:val="00A54A36"/>
    <w:rsid w:val="00A711F2"/>
    <w:rsid w:val="00A800E6"/>
    <w:rsid w:val="00A9260A"/>
    <w:rsid w:val="00AA6B8B"/>
    <w:rsid w:val="00AB363B"/>
    <w:rsid w:val="00AC12A1"/>
    <w:rsid w:val="00AC5F4B"/>
    <w:rsid w:val="00B214F7"/>
    <w:rsid w:val="00B23297"/>
    <w:rsid w:val="00B24B88"/>
    <w:rsid w:val="00B267F1"/>
    <w:rsid w:val="00B30633"/>
    <w:rsid w:val="00B4054A"/>
    <w:rsid w:val="00B42686"/>
    <w:rsid w:val="00B4714B"/>
    <w:rsid w:val="00B56004"/>
    <w:rsid w:val="00B565FB"/>
    <w:rsid w:val="00B6007D"/>
    <w:rsid w:val="00B628B2"/>
    <w:rsid w:val="00B661D2"/>
    <w:rsid w:val="00B67246"/>
    <w:rsid w:val="00B90AC4"/>
    <w:rsid w:val="00B925F4"/>
    <w:rsid w:val="00BA26A8"/>
    <w:rsid w:val="00BA5234"/>
    <w:rsid w:val="00BB7E48"/>
    <w:rsid w:val="00BC0E80"/>
    <w:rsid w:val="00BC30CD"/>
    <w:rsid w:val="00BD18E1"/>
    <w:rsid w:val="00C034E7"/>
    <w:rsid w:val="00C15CB5"/>
    <w:rsid w:val="00C4293C"/>
    <w:rsid w:val="00C459F7"/>
    <w:rsid w:val="00C86192"/>
    <w:rsid w:val="00C9209D"/>
    <w:rsid w:val="00CB6DA9"/>
    <w:rsid w:val="00CE0B3C"/>
    <w:rsid w:val="00CE790C"/>
    <w:rsid w:val="00CE7A06"/>
    <w:rsid w:val="00D019BD"/>
    <w:rsid w:val="00D175B6"/>
    <w:rsid w:val="00D24AE3"/>
    <w:rsid w:val="00D26114"/>
    <w:rsid w:val="00D303F2"/>
    <w:rsid w:val="00D36868"/>
    <w:rsid w:val="00D427A1"/>
    <w:rsid w:val="00D545A0"/>
    <w:rsid w:val="00D561A6"/>
    <w:rsid w:val="00D569A2"/>
    <w:rsid w:val="00D56E79"/>
    <w:rsid w:val="00DA36F6"/>
    <w:rsid w:val="00DC6C92"/>
    <w:rsid w:val="00DD373E"/>
    <w:rsid w:val="00DE3CFB"/>
    <w:rsid w:val="00DE4E44"/>
    <w:rsid w:val="00DF3956"/>
    <w:rsid w:val="00DF3B10"/>
    <w:rsid w:val="00E069D0"/>
    <w:rsid w:val="00E06A2E"/>
    <w:rsid w:val="00E12856"/>
    <w:rsid w:val="00E132BC"/>
    <w:rsid w:val="00E2512A"/>
    <w:rsid w:val="00E25E19"/>
    <w:rsid w:val="00E4380C"/>
    <w:rsid w:val="00E925A6"/>
    <w:rsid w:val="00EA21C1"/>
    <w:rsid w:val="00EB5007"/>
    <w:rsid w:val="00EB6080"/>
    <w:rsid w:val="00EC400E"/>
    <w:rsid w:val="00EF4E1F"/>
    <w:rsid w:val="00F06B88"/>
    <w:rsid w:val="00F57646"/>
    <w:rsid w:val="00F65A54"/>
    <w:rsid w:val="00F70637"/>
    <w:rsid w:val="00F71B81"/>
    <w:rsid w:val="00F92666"/>
    <w:rsid w:val="00FB7BC2"/>
    <w:rsid w:val="00FD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B121"/>
  <w15:chartTrackingRefBased/>
  <w15:docId w15:val="{08E44A3F-6152-4BC7-A26B-F851F933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E12856"/>
    <w:rPr>
      <w:rFonts w:cs="Times New Roman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E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12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Znak,o,fn"/>
    <w:basedOn w:val="Normalny"/>
    <w:link w:val="TekstprzypisudolnegoZnak"/>
    <w:uiPriority w:val="99"/>
    <w:qFormat/>
    <w:rsid w:val="00E12856"/>
    <w:rPr>
      <w:sz w:val="20"/>
      <w:szCs w:val="20"/>
      <w:u w:val="single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E12856"/>
    <w:rPr>
      <w:rFonts w:ascii="Times New Roman" w:eastAsia="Times New Roman" w:hAnsi="Times New Roman" w:cs="Times New Roman"/>
      <w:sz w:val="20"/>
      <w:szCs w:val="20"/>
      <w:u w:val="single"/>
      <w:lang w:val="x-none" w:eastAsia="x-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uiPriority w:val="99"/>
    <w:rsid w:val="00E12856"/>
    <w:rPr>
      <w:vertAlign w:val="superscript"/>
    </w:rPr>
  </w:style>
  <w:style w:type="paragraph" w:styleId="Akapitzlist">
    <w:name w:val="List Paragraph"/>
    <w:aliases w:val="maz_wyliczenie,opis dzialania,K-P_odwolanie,A_wyliczenie,Akapit z listą5,punktowane_snoroa,Numerowanie,Kolorowa lista — akcent 11,Akapit z listą BS,List Paragraph,Obiekt,List Paragraph1,BulletC,normalny tekst,Akapit z listą11,sw tekst"/>
    <w:basedOn w:val="Normalny"/>
    <w:link w:val="AkapitzlistZnak"/>
    <w:uiPriority w:val="34"/>
    <w:qFormat/>
    <w:rsid w:val="00E12856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punktowane_snoroa Znak,Numerowanie Znak,Kolorowa lista — akcent 11 Znak,Akapit z listą BS Znak,List Paragraph Znak,Obiekt Znak"/>
    <w:link w:val="Akapitzlist"/>
    <w:uiPriority w:val="34"/>
    <w:qFormat/>
    <w:rsid w:val="00E128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00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00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0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0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0E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D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3C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528D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33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1468C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1EB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23F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po.gov.pl/media/143982/1.pdf" TargetMode="External"/><Relationship Id="rId1" Type="http://schemas.openxmlformats.org/officeDocument/2006/relationships/hyperlink" Target="https://www.kpo.gov.pl/strony/o-kpo/dla-instytucji/dokumenty/dns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2C45-D79A-4CDB-89C2-82DAE000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1430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Marszałek</dc:creator>
  <cp:keywords/>
  <dc:description/>
  <cp:lastModifiedBy>Ewa Paderewska</cp:lastModifiedBy>
  <cp:revision>5</cp:revision>
  <cp:lastPrinted>2026-03-25T14:40:00Z</cp:lastPrinted>
  <dcterms:created xsi:type="dcterms:W3CDTF">2026-03-26T07:30:00Z</dcterms:created>
  <dcterms:modified xsi:type="dcterms:W3CDTF">2026-03-30T07:01:00Z</dcterms:modified>
</cp:coreProperties>
</file>